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rPr>
          <w:rFonts w:ascii="Arial" w:hAnsi="Arial" w:cs="Arial"/>
          <w:sz w:val="24"/>
          <w:szCs w:val="24"/>
        </w:rPr>
      </w:pPr>
      <w:r>
        <w:rPr>
          <w:rFonts w:cs="Arial" w:ascii="Arial" w:hAnsi="Arial"/>
          <w:sz w:val="24"/>
          <w:szCs w:val="24"/>
        </w:rPr>
      </w:r>
    </w:p>
    <w:tbl>
      <w:tblPr>
        <w:tblW w:w="9299" w:type="dxa"/>
        <w:jc w:val="left"/>
        <w:tblInd w:w="7" w:type="dxa"/>
        <w:tblLayout w:type="fixed"/>
        <w:tblCellMar>
          <w:top w:w="0" w:type="dxa"/>
          <w:left w:w="57" w:type="dxa"/>
          <w:bottom w:w="0" w:type="dxa"/>
          <w:right w:w="57" w:type="dxa"/>
        </w:tblCellMar>
        <w:tblLook w:firstRow="0" w:noVBand="0" w:lastRow="0" w:firstColumn="0" w:lastColumn="0" w:noHBand="0" w:val="0000"/>
      </w:tblPr>
      <w:tblGrid>
        <w:gridCol w:w="3369"/>
        <w:gridCol w:w="29"/>
        <w:gridCol w:w="5887"/>
        <w:gridCol w:w="14"/>
      </w:tblGrid>
      <w:tr>
        <w:trPr>
          <w:trHeight w:val="422" w:hRule="atLeast"/>
        </w:trPr>
        <w:tc>
          <w:tcPr>
            <w:tcW w:w="9299" w:type="dxa"/>
            <w:gridSpan w:val="4"/>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ПАСПОРТ</w:t>
            </w:r>
          </w:p>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28"/>
                <w:szCs w:val="28"/>
              </w:rPr>
              <w:t xml:space="preserve"> </w:t>
            </w:r>
            <w:r>
              <w:rPr>
                <w:rFonts w:ascii="Times New Roman" w:hAnsi="Times New Roman"/>
                <w:color w:val="000000"/>
                <w:sz w:val="28"/>
                <w:szCs w:val="28"/>
              </w:rPr>
              <w:t>государственной программы Брянской области</w:t>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Наименование государственной</w:t>
            </w:r>
          </w:p>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«Управление государственными финансами Брянской области»</w:t>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Ответственный исполнитель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департамент финансов Брянской области</w:t>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Соисполнители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управление государственных закупок Брянской области</w:t>
              <w:br/>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Перечень подпрограмм</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 xml:space="preserve">«Совершенствование управления общественными финансами»; </w:t>
              <w:br/>
              <w:t xml:space="preserve">«Межбюджетные отношения с муниципальными образованиями»; </w:t>
              <w:br/>
              <w:t>«Содействие в сфере государственных закупок Брянской области»</w:t>
              <w:br/>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Перечень проектов, реализуемых в рамках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Цели и задачи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1. Обеспечение долгосрочной сбалансированности и устойчивости бюджетной системы, повышение качества управления общественными финансами Брянской области:</w:t>
              <w:br/>
              <w:t>1.1. Внедрение современных методов и технологий управления региональными и муниципальными финансами.</w:t>
              <w:br/>
              <w:t>1.2. Обеспечение финансовой устойчивости бюджетной системы Брянской области путем проведения сбалансированной финансовой политики.</w:t>
              <w:br/>
              <w:t>1.3. Создание условий для эффективного и ответственного управления муниципальными финансами.</w:t>
              <w:br/>
              <w:t>2. Повышение эффективности, результативности осуществления закупок товаров, работ, услуг для государственных нужд, обеспечение гласности и прозрачности осуществления закупок, предотвращение коррупции и других злоупотреблений в сфере закупок:</w:t>
              <w:br/>
              <w:t>2.1. Регулирование и организация размещения заказов на закупку товаров, работ, услуг для государственных нужд, организация мониторинга закупок, методологическое сопровождение деятельности государственных заказчиков Брянской области и государственных учреждений Брянской области, осуществляющих закупки.</w:t>
              <w:br/>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Сроки реализации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uppressLineNumbers/>
              <w:suppressAutoHyphens w:val="true"/>
              <w:spacing w:lineRule="auto" w:line="240" w:before="0" w:after="0"/>
              <w:rPr>
                <w:rFonts w:ascii="Times New Roman" w:hAnsi="Times New Roman" w:eastAsia="NSimSun"/>
                <w:bCs/>
                <w:kern w:val="2"/>
                <w:sz w:val="28"/>
                <w:szCs w:val="28"/>
                <w:lang w:eastAsia="zh-CN" w:bidi="hi-IN"/>
              </w:rPr>
            </w:pPr>
            <w:r>
              <w:rPr>
                <w:rFonts w:ascii="Times New Roman" w:hAnsi="Times New Roman"/>
                <w:bCs/>
                <w:sz w:val="28"/>
                <w:szCs w:val="28"/>
                <w:lang w:eastAsia="en-US"/>
              </w:rPr>
              <w:t>1 этап: 2019 – 2024 годы</w:t>
            </w:r>
          </w:p>
          <w:p>
            <w:pPr>
              <w:pStyle w:val="Normal"/>
              <w:widowControl w:val="false"/>
              <w:spacing w:lineRule="auto" w:line="240" w:before="0" w:after="0"/>
              <w:rPr>
                <w:rFonts w:ascii="Arial" w:hAnsi="Arial" w:cs="Arial"/>
                <w:sz w:val="24"/>
                <w:szCs w:val="24"/>
              </w:rPr>
            </w:pPr>
            <w:r>
              <w:rPr>
                <w:rFonts w:ascii="Times New Roman" w:hAnsi="Times New Roman"/>
                <w:bCs/>
                <w:sz w:val="28"/>
                <w:szCs w:val="28"/>
                <w:lang w:eastAsia="en-US"/>
              </w:rPr>
              <w:t>2 этап: 2025 – 2030 годы</w:t>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общий объем средств, предусмотренных на реализацию государственной программы, –</w:t>
              <w:br/>
              <w:t>42 359 377 252,12 рубля</w:t>
              <w:br/>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проектов, реализуемых в рамках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422" w:hRule="atLeast"/>
        </w:trPr>
        <w:tc>
          <w:tcPr>
            <w:tcW w:w="336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Показатели (индикаторы) государственной программы</w:t>
            </w:r>
          </w:p>
        </w:tc>
        <w:tc>
          <w:tcPr>
            <w:tcW w:w="5930"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Государственной программой предусмотрено достижение к 2030 году следующих целевых значений показателей (индикаторов) государственной программы:</w:t>
            </w:r>
          </w:p>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1. Доля просроченной кредиторской задолженности областного бюджета и местных бюджетов в расходах консолидированного бюджета Брянской области, (процент) – 0;</w:t>
              <w:br/>
              <w:t>2.</w:t>
            </w:r>
            <w:r>
              <w:rPr>
                <w:rFonts w:ascii="Times New Roman" w:hAnsi="Times New Roman"/>
                <w:sz w:val="28"/>
                <w:szCs w:val="28"/>
              </w:rPr>
              <w:t xml:space="preserve"> Отношение общего объема государственного долга Брянской области (без учета бюджетных кредитов, предоставленных на реализацию инфраструктурных проектов) к сумме доходов областного бюджета без учета безвозмездных поступлений</w:t>
            </w:r>
            <w:r>
              <w:rPr>
                <w:rFonts w:ascii="Times New Roman" w:hAnsi="Times New Roman"/>
                <w:color w:val="000000"/>
                <w:sz w:val="28"/>
                <w:szCs w:val="28"/>
              </w:rPr>
              <w:t>, (процент) – 24;</w:t>
              <w:br/>
              <w:t>3. Отношение общего объема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безвозмездных поступлений, (процент) – 23.</w:t>
              <w:br/>
              <w:t>4. Темп роста налоговых и неналоговых доходов консолидированного бюджета Брянской области к предыдущему году, (процент) – 103.</w:t>
            </w:r>
          </w:p>
        </w:tc>
      </w:tr>
      <w:tr>
        <w:trPr>
          <w:trHeight w:val="827" w:hRule="atLeast"/>
        </w:trPr>
        <w:tc>
          <w:tcPr>
            <w:tcW w:w="9285" w:type="dxa"/>
            <w:gridSpan w:val="3"/>
            <w:tcBorders/>
            <w:tcMar>
              <w:left w:w="0" w:type="dxa"/>
              <w:right w:w="0" w:type="dxa"/>
            </w:tcMar>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r>
          </w:p>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ПАСПОРТ</w:t>
            </w:r>
          </w:p>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28"/>
                <w:szCs w:val="28"/>
              </w:rPr>
              <w:t>подпрограммы государственной программы Брянской области</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Наименование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«Совершенствование управления общественными финансами»</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Ответственный исполнитель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департамент финансов Брянской области</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Соисполнители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Перечень проектов, реализуемых в рамках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Цели и задачи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1. Внедрение современных методов и технологий управления региональными и муниципальными финансами:</w:t>
              <w:br/>
              <w:t>1.1. Совершенствование информационного обеспечения процессов планирования и исполнения областного бюджета.</w:t>
              <w:br/>
              <w:t>1.2. Совершенствование системы контроля и качества финансового менеджмента главных распорядителей средств областного бюджета.</w:t>
              <w:br/>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Cроки реализации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uppressLineNumbers/>
              <w:suppressAutoHyphens w:val="true"/>
              <w:spacing w:lineRule="auto" w:line="240" w:before="0" w:after="0"/>
              <w:rPr>
                <w:rFonts w:ascii="Times New Roman" w:hAnsi="Times New Roman" w:eastAsia="NSimSun"/>
                <w:bCs/>
                <w:kern w:val="2"/>
                <w:sz w:val="28"/>
                <w:szCs w:val="28"/>
                <w:lang w:eastAsia="zh-CN" w:bidi="hi-IN"/>
              </w:rPr>
            </w:pPr>
            <w:r>
              <w:rPr>
                <w:rFonts w:ascii="Times New Roman" w:hAnsi="Times New Roman"/>
                <w:bCs/>
                <w:sz w:val="28"/>
                <w:szCs w:val="28"/>
                <w:lang w:eastAsia="en-US"/>
              </w:rPr>
              <w:t>1 этап: 2019 – 2024 годы</w:t>
            </w:r>
          </w:p>
          <w:p>
            <w:pPr>
              <w:pStyle w:val="Normal"/>
              <w:widowControl w:val="false"/>
              <w:spacing w:lineRule="auto" w:line="240" w:before="0" w:after="0"/>
              <w:rPr>
                <w:rFonts w:ascii="Arial" w:hAnsi="Arial" w:cs="Arial"/>
                <w:sz w:val="24"/>
                <w:szCs w:val="24"/>
              </w:rPr>
            </w:pPr>
            <w:r>
              <w:rPr>
                <w:rFonts w:ascii="Times New Roman" w:hAnsi="Times New Roman"/>
                <w:bCs/>
                <w:sz w:val="28"/>
                <w:szCs w:val="28"/>
                <w:lang w:eastAsia="en-US"/>
              </w:rPr>
              <w:t>2 этап: 2025 – 2030 годы</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общий объем средств, предусмотренных на реализацию подпрограммы, –</w:t>
              <w:br/>
              <w:t>1 269 912 448,86 рубля</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проектов, реализуемых в рамках подпрограммы</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c>
          <w:tcPr>
            <w:tcW w:w="14" w:type="dxa"/>
            <w:tcBorders/>
            <w:tcMar>
              <w:left w:w="108" w:type="dxa"/>
              <w:right w:w="108" w:type="dxa"/>
            </w:tcMar>
          </w:tcPr>
          <w:p>
            <w:pPr>
              <w:pStyle w:val="Normal"/>
              <w:widowControl w:val="false"/>
              <w:spacing w:before="0" w:after="200"/>
              <w:rPr/>
            </w:pPr>
            <w:r>
              <w:rPr/>
            </w:r>
          </w:p>
        </w:tc>
      </w:tr>
      <w:tr>
        <w:trPr>
          <w:trHeight w:val="510" w:hRule="atLeast"/>
        </w:trPr>
        <w:tc>
          <w:tcPr>
            <w:tcW w:w="3398" w:type="dxa"/>
            <w:gridSpan w:val="2"/>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Показатели (индикаторы) основных мероприятий (проектов)</w:t>
            </w:r>
          </w:p>
        </w:tc>
        <w:tc>
          <w:tcPr>
            <w:tcW w:w="5887"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both"/>
              <w:rPr>
                <w:rFonts w:ascii="Arial" w:hAnsi="Arial" w:cs="Arial"/>
                <w:sz w:val="24"/>
                <w:szCs w:val="24"/>
              </w:rPr>
            </w:pPr>
            <w:r>
              <w:rPr>
                <w:rFonts w:ascii="Times New Roman" w:hAnsi="Times New Roman"/>
                <w:color w:val="000000"/>
                <w:sz w:val="28"/>
                <w:szCs w:val="28"/>
              </w:rPr>
              <w:t>приведены в разделе 1 государственной программы</w:t>
            </w:r>
          </w:p>
        </w:tc>
        <w:tc>
          <w:tcPr>
            <w:tcW w:w="14" w:type="dxa"/>
            <w:tcBorders/>
            <w:tcMar>
              <w:left w:w="108" w:type="dxa"/>
              <w:right w:w="108" w:type="dxa"/>
            </w:tcMar>
          </w:tcPr>
          <w:p>
            <w:pPr>
              <w:pStyle w:val="Normal"/>
              <w:widowControl w:val="false"/>
              <w:spacing w:before="0" w:after="200"/>
              <w:rPr/>
            </w:pPr>
            <w:r>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W w:w="9285" w:type="dxa"/>
        <w:jc w:val="left"/>
        <w:tblInd w:w="-108" w:type="dxa"/>
        <w:tblLayout w:type="fixed"/>
        <w:tblCellMar>
          <w:top w:w="0" w:type="dxa"/>
          <w:left w:w="0" w:type="dxa"/>
          <w:bottom w:w="0" w:type="dxa"/>
          <w:right w:w="0" w:type="dxa"/>
        </w:tblCellMar>
        <w:tblLook w:firstRow="0" w:noVBand="0" w:lastRow="0" w:firstColumn="0" w:lastColumn="0" w:noHBand="0" w:val="0000"/>
      </w:tblPr>
      <w:tblGrid>
        <w:gridCol w:w="3399"/>
        <w:gridCol w:w="5885"/>
      </w:tblGrid>
      <w:tr>
        <w:trPr>
          <w:trHeight w:val="827" w:hRule="atLeast"/>
        </w:trPr>
        <w:tc>
          <w:tcPr>
            <w:tcW w:w="9284" w:type="dxa"/>
            <w:gridSpan w:val="2"/>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ПАСПОРТ</w:t>
            </w:r>
          </w:p>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28"/>
                <w:szCs w:val="28"/>
              </w:rPr>
              <w:t>подпрограммы государственной программы Брянской области</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Наименование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«Межбюджетные отношения с муниципальными образованиями»</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Ответственный исполнитель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департамент финансов Брянской области</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Соисполнители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Перечень проектов, реализуемых в рамках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Цели и задачи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1. Создание условий для эффективного и ответственного управления муниципальными финансами:</w:t>
              <w:br/>
              <w:t>1.1. Выравнивание бюджетной обеспеченности, поддержка мер по обеспечению сбалансированности местных бюджетов.</w:t>
              <w:br/>
              <w:t>1.2. Использование мер стимулирующего характера, направленных на повышение качества управления муниципальными финансами.</w:t>
              <w:br/>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Cроки реализации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uppressLineNumbers/>
              <w:suppressAutoHyphens w:val="true"/>
              <w:spacing w:lineRule="auto" w:line="240" w:before="0" w:after="0"/>
              <w:rPr>
                <w:rFonts w:ascii="Times New Roman" w:hAnsi="Times New Roman" w:eastAsia="NSimSun"/>
                <w:bCs/>
                <w:kern w:val="2"/>
                <w:sz w:val="28"/>
                <w:szCs w:val="28"/>
                <w:lang w:eastAsia="zh-CN" w:bidi="hi-IN"/>
              </w:rPr>
            </w:pPr>
            <w:r>
              <w:rPr>
                <w:rFonts w:ascii="Times New Roman" w:hAnsi="Times New Roman"/>
                <w:bCs/>
                <w:sz w:val="28"/>
                <w:szCs w:val="28"/>
                <w:lang w:eastAsia="en-US"/>
              </w:rPr>
              <w:t>1 этап: 2019 – 2024 годы</w:t>
            </w:r>
          </w:p>
          <w:p>
            <w:pPr>
              <w:pStyle w:val="Normal"/>
              <w:widowControl w:val="false"/>
              <w:spacing w:lineRule="auto" w:line="240" w:before="0" w:after="0"/>
              <w:rPr>
                <w:rFonts w:ascii="Arial" w:hAnsi="Arial" w:cs="Arial"/>
                <w:sz w:val="24"/>
                <w:szCs w:val="24"/>
              </w:rPr>
            </w:pPr>
            <w:r>
              <w:rPr>
                <w:rFonts w:ascii="Times New Roman" w:hAnsi="Times New Roman"/>
                <w:bCs/>
                <w:sz w:val="28"/>
                <w:szCs w:val="28"/>
                <w:lang w:eastAsia="en-US"/>
              </w:rPr>
              <w:t>2 этап: 2025 – 2030 годы</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общий объем средств, предусмотренных на реализацию подпрограммы, –</w:t>
              <w:br/>
              <w:t>37 406 454 264,13 рубля</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проектов, реализуемых в рамках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Показатели (индикаторы) основных мероприятий (проектов)</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приведены в разделе 1 государственной программы</w:t>
              <w:br/>
            </w:r>
          </w:p>
        </w:tc>
      </w:tr>
    </w:tbl>
    <w:p>
      <w:pPr>
        <w:pStyle w:val="Normal"/>
        <w:rPr/>
      </w:pPr>
      <w:r>
        <w:rPr/>
      </w:r>
    </w:p>
    <w:p>
      <w:pPr>
        <w:pStyle w:val="Normal"/>
        <w:rPr/>
      </w:pPr>
      <w:r>
        <w:rPr/>
      </w:r>
    </w:p>
    <w:p>
      <w:pPr>
        <w:pStyle w:val="Normal"/>
        <w:rPr/>
      </w:pPr>
      <w:r>
        <w:rPr/>
      </w:r>
    </w:p>
    <w:p>
      <w:pPr>
        <w:pStyle w:val="Normal"/>
        <w:rPr/>
      </w:pPr>
      <w:r>
        <w:rPr/>
      </w:r>
    </w:p>
    <w:p>
      <w:pPr>
        <w:pStyle w:val="Normal"/>
        <w:rPr/>
      </w:pPr>
      <w:r>
        <w:rPr/>
      </w:r>
    </w:p>
    <w:tbl>
      <w:tblPr>
        <w:tblW w:w="9285" w:type="dxa"/>
        <w:jc w:val="left"/>
        <w:tblInd w:w="-108" w:type="dxa"/>
        <w:tblLayout w:type="fixed"/>
        <w:tblCellMar>
          <w:top w:w="0" w:type="dxa"/>
          <w:left w:w="0" w:type="dxa"/>
          <w:bottom w:w="0" w:type="dxa"/>
          <w:right w:w="0" w:type="dxa"/>
        </w:tblCellMar>
        <w:tblLook w:firstRow="0" w:noVBand="0" w:lastRow="0" w:firstColumn="0" w:lastColumn="0" w:noHBand="0" w:val="0000"/>
      </w:tblPr>
      <w:tblGrid>
        <w:gridCol w:w="3399"/>
        <w:gridCol w:w="5885"/>
      </w:tblGrid>
      <w:tr>
        <w:trPr>
          <w:trHeight w:val="827" w:hRule="atLeast"/>
        </w:trPr>
        <w:tc>
          <w:tcPr>
            <w:tcW w:w="9284" w:type="dxa"/>
            <w:gridSpan w:val="2"/>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ПАСПОРТ</w:t>
            </w:r>
          </w:p>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28"/>
                <w:szCs w:val="28"/>
              </w:rPr>
              <w:t>подпрограммы государственной программы Брянской области</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Наименование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«Содействие в сфере государственных закупок Брянской области»</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Ответственный исполнитель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управление государственных закупок Брянской области</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Соисполнители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Перечень проектов, реализуемых в рамках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Цели и задачи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1. Регулирование и организация размещения заказов на закупку товаров, работ, услуг для государственных нужд, организация мониторинга закупок, методологическое сопровождение деятельности государственных заказчиков Брянской области и государственных учреждений Брянской области, осуществляющих закупки:</w:t>
              <w:br/>
              <w:t>1.1. Повышение эффективности закупок для обеспечения государственных нужд.</w:t>
              <w:br/>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Cроки реализации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uppressLineNumbers/>
              <w:suppressAutoHyphens w:val="true"/>
              <w:spacing w:lineRule="auto" w:line="240" w:before="0" w:after="0"/>
              <w:rPr>
                <w:rFonts w:ascii="Times New Roman" w:hAnsi="Times New Roman" w:eastAsia="NSimSun"/>
                <w:bCs/>
                <w:kern w:val="2"/>
                <w:sz w:val="28"/>
                <w:szCs w:val="28"/>
                <w:lang w:eastAsia="zh-CN" w:bidi="hi-IN"/>
              </w:rPr>
            </w:pPr>
            <w:r>
              <w:rPr>
                <w:rFonts w:ascii="Times New Roman" w:hAnsi="Times New Roman"/>
                <w:bCs/>
                <w:sz w:val="28"/>
                <w:szCs w:val="28"/>
                <w:lang w:eastAsia="en-US"/>
              </w:rPr>
              <w:t>1 этап: 2019 – 2024 годы</w:t>
            </w:r>
          </w:p>
          <w:p>
            <w:pPr>
              <w:pStyle w:val="Normal"/>
              <w:widowControl w:val="false"/>
              <w:spacing w:lineRule="auto" w:line="240" w:before="0" w:after="0"/>
              <w:rPr>
                <w:rFonts w:ascii="Arial" w:hAnsi="Arial" w:cs="Arial"/>
                <w:sz w:val="24"/>
                <w:szCs w:val="24"/>
              </w:rPr>
            </w:pPr>
            <w:r>
              <w:rPr>
                <w:rFonts w:ascii="Times New Roman" w:hAnsi="Times New Roman"/>
                <w:bCs/>
                <w:sz w:val="28"/>
                <w:szCs w:val="28"/>
                <w:lang w:eastAsia="en-US"/>
              </w:rPr>
              <w:t>2 этап: 2025 – 2030 годы</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общий объем средств, предусмотренных на реализацию подпрограммы, –</w:t>
              <w:br/>
              <w:t>224 203 231,00 рубля</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Объем средств на реализацию проектов, реализуемых в рамках подпрограммы</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отсутствуют</w:t>
            </w:r>
          </w:p>
        </w:tc>
      </w:tr>
      <w:tr>
        <w:trPr>
          <w:trHeight w:val="510" w:hRule="atLeast"/>
        </w:trPr>
        <w:tc>
          <w:tcPr>
            <w:tcW w:w="3399"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Показатели (индикаторы) основных мероприятий (проектов)</w:t>
            </w:r>
          </w:p>
        </w:tc>
        <w:tc>
          <w:tcPr>
            <w:tcW w:w="5885" w:type="dxa"/>
            <w:tcBorders>
              <w:top w:val="single" w:sz="8" w:space="0" w:color="000000"/>
              <w:left w:val="single" w:sz="8" w:space="0" w:color="000000"/>
              <w:bottom w:val="single" w:sz="8" w:space="0" w:color="000000"/>
              <w:right w:val="single" w:sz="8" w:space="0" w:color="000000"/>
            </w:tcBorders>
            <w:tcMar>
              <w:left w:w="57" w:type="dxa"/>
              <w:right w:w="57" w:type="dxa"/>
            </w:tcMar>
          </w:tcPr>
          <w:p>
            <w:pPr>
              <w:pStyle w:val="Normal"/>
              <w:widowControl w:val="false"/>
              <w:spacing w:lineRule="auto" w:line="240" w:before="0" w:after="0"/>
              <w:rPr>
                <w:rFonts w:ascii="Arial" w:hAnsi="Arial" w:cs="Arial"/>
                <w:sz w:val="24"/>
                <w:szCs w:val="24"/>
              </w:rPr>
            </w:pPr>
            <w:r>
              <w:rPr>
                <w:rFonts w:ascii="Times New Roman" w:hAnsi="Times New Roman"/>
                <w:color w:val="000000"/>
                <w:sz w:val="28"/>
                <w:szCs w:val="28"/>
              </w:rPr>
              <w:t>приведены в разделе 1 государственной программы</w:t>
              <w:br/>
            </w:r>
          </w:p>
        </w:tc>
      </w:tr>
    </w:tbl>
    <w:p>
      <w:pPr>
        <w:pStyle w:val="Normal"/>
        <w:rPr/>
      </w:pPr>
      <w:r>
        <w:rPr/>
      </w:r>
    </w:p>
    <w:p>
      <w:pPr>
        <w:pStyle w:val="Normal"/>
        <w:rPr/>
      </w:pPr>
      <w:r>
        <w:rPr/>
      </w:r>
    </w:p>
    <w:p>
      <w:pPr>
        <w:sectPr>
          <w:type w:val="nextPage"/>
          <w:pgSz w:w="11950" w:h="16901"/>
          <w:pgMar w:left="1701" w:right="850" w:header="0" w:top="1134" w:footer="0" w:bottom="851" w:gutter="0"/>
          <w:pgNumType w:start="1" w:fmt="decimal"/>
          <w:formProt w:val="false"/>
          <w:textDirection w:val="lrTb"/>
          <w:docGrid w:type="default" w:linePitch="299" w:charSpace="4096"/>
        </w:sectPr>
        <w:pStyle w:val="Normal"/>
        <w:rPr/>
      </w:pPr>
      <w:r>
        <w:rPr/>
      </w:r>
    </w:p>
    <w:tbl>
      <w:tblPr>
        <w:tblW w:w="14474" w:type="dxa"/>
        <w:jc w:val="left"/>
        <w:tblInd w:w="93" w:type="dxa"/>
        <w:tblLayout w:type="fixed"/>
        <w:tblCellMar>
          <w:top w:w="0" w:type="dxa"/>
          <w:left w:w="108" w:type="dxa"/>
          <w:bottom w:w="0" w:type="dxa"/>
          <w:right w:w="108" w:type="dxa"/>
        </w:tblCellMar>
        <w:tblLook w:firstRow="1" w:noVBand="1" w:lastRow="0" w:firstColumn="1" w:lastColumn="0" w:noHBand="0" w:val="04a0"/>
      </w:tblPr>
      <w:tblGrid>
        <w:gridCol w:w="636"/>
        <w:gridCol w:w="6182"/>
        <w:gridCol w:w="1701"/>
        <w:gridCol w:w="1560"/>
        <w:gridCol w:w="1417"/>
        <w:gridCol w:w="1419"/>
        <w:gridCol w:w="1558"/>
      </w:tblGrid>
      <w:tr>
        <w:trPr>
          <w:trHeight w:val="1200" w:hRule="atLeast"/>
        </w:trPr>
        <w:tc>
          <w:tcPr>
            <w:tcW w:w="14473" w:type="dxa"/>
            <w:gridSpan w:val="7"/>
            <w:tcBorders/>
            <w:vAlign w:val="center"/>
          </w:tcPr>
          <w:p>
            <w:pPr>
              <w:pStyle w:val="Normal"/>
              <w:widowControl w:val="false"/>
              <w:spacing w:lineRule="auto" w:line="240" w:before="0" w:after="0"/>
              <w:jc w:val="right"/>
              <w:rPr>
                <w:rFonts w:ascii="Times New Roman" w:hAnsi="Times New Roman"/>
                <w:color w:val="000000"/>
                <w:sz w:val="28"/>
                <w:szCs w:val="28"/>
              </w:rPr>
            </w:pPr>
            <w:r>
              <w:rPr>
                <w:rFonts w:ascii="Times New Roman" w:hAnsi="Times New Roman"/>
                <w:color w:val="000000"/>
                <w:sz w:val="28"/>
                <w:szCs w:val="28"/>
              </w:rPr>
              <w:t>Раздел 1</w:t>
            </w:r>
          </w:p>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Сведения о показателях (индикаторах) государственной программы «Управление государственными финансами Брянской области», показателях (индикаторах) основных мероприятий (проектов)</w:t>
            </w:r>
          </w:p>
        </w:tc>
      </w:tr>
      <w:tr>
        <w:trPr>
          <w:trHeight w:val="375" w:hRule="atLeast"/>
        </w:trPr>
        <w:tc>
          <w:tcPr>
            <w:tcW w:w="63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пп</w:t>
            </w:r>
          </w:p>
        </w:tc>
        <w:tc>
          <w:tcPr>
            <w:tcW w:w="618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Наименование показателя (индикатора)</w:t>
            </w:r>
          </w:p>
        </w:tc>
        <w:tc>
          <w:tcPr>
            <w:tcW w:w="17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Единица измерения</w:t>
            </w:r>
          </w:p>
        </w:tc>
        <w:tc>
          <w:tcPr>
            <w:tcW w:w="5954" w:type="dxa"/>
            <w:gridSpan w:val="4"/>
            <w:tcBorders>
              <w:top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Целевые значения показателей (индикаторов)</w:t>
            </w:r>
          </w:p>
        </w:tc>
      </w:tr>
      <w:tr>
        <w:trPr>
          <w:trHeight w:val="451" w:hRule="atLeast"/>
        </w:trPr>
        <w:tc>
          <w:tcPr>
            <w:tcW w:w="6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r>
          </w:p>
        </w:tc>
        <w:tc>
          <w:tcPr>
            <w:tcW w:w="618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r>
          </w:p>
        </w:tc>
        <w:tc>
          <w:tcPr>
            <w:tcW w:w="1560" w:type="dxa"/>
            <w:tcBorders>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2022 год</w:t>
            </w:r>
          </w:p>
        </w:tc>
        <w:tc>
          <w:tcPr>
            <w:tcW w:w="1417" w:type="dxa"/>
            <w:tcBorders>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2023 год</w:t>
            </w:r>
          </w:p>
        </w:tc>
        <w:tc>
          <w:tcPr>
            <w:tcW w:w="1419" w:type="dxa"/>
            <w:tcBorders>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2024 год</w:t>
            </w:r>
          </w:p>
        </w:tc>
        <w:tc>
          <w:tcPr>
            <w:tcW w:w="1558" w:type="dxa"/>
            <w:tcBorders>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2025 год</w:t>
            </w:r>
          </w:p>
        </w:tc>
      </w:tr>
      <w:tr>
        <w:trPr>
          <w:trHeight w:val="375" w:hRule="atLeast"/>
        </w:trPr>
        <w:tc>
          <w:tcPr>
            <w:tcW w:w="63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6182"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3</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4</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5</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6</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7</w:t>
            </w:r>
          </w:p>
        </w:tc>
      </w:tr>
      <w:tr>
        <w:trPr>
          <w:trHeight w:val="375"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 Показатели (индикаторы) государственной программы</w:t>
            </w:r>
          </w:p>
        </w:tc>
      </w:tr>
      <w:tr>
        <w:trPr>
          <w:trHeight w:val="1337"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1.1.</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sz w:val="28"/>
                <w:szCs w:val="28"/>
              </w:rPr>
              <w:t>Отношение общего объема государственного долга Брянской области (без учета бюджетных кредитов, предоставленных на реализацию инфраструктурных проектов) к сумме доходов областного бюджета без учета безвозмездных поступлений</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33</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29</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25</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35</w:t>
            </w:r>
          </w:p>
        </w:tc>
      </w:tr>
      <w:tr>
        <w:trPr>
          <w:trHeight w:val="2350"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1.2.</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Отношение общего объема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безвозмездных поступлений</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22</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23</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24</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24</w:t>
            </w:r>
          </w:p>
        </w:tc>
      </w:tr>
      <w:tr>
        <w:trPr>
          <w:trHeight w:val="1122"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1.3.</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Темп роста налоговых и неналоговых доходов консолидированного бюджета Брянской области к предыдущему году</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104,7</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99,9</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105,8</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105,7</w:t>
            </w:r>
          </w:p>
        </w:tc>
      </w:tr>
      <w:tr>
        <w:trPr>
          <w:trHeight w:val="1412"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1.4.</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Доля просроченной кредиторской задолженности областного бюджета и местных бюджетов в расходах консолидированного бюджета Брянской области</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0</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0</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0</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0</w:t>
            </w:r>
          </w:p>
        </w:tc>
      </w:tr>
      <w:tr>
        <w:trPr>
          <w:trHeight w:val="375"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Показатели (индикаторы) основных мероприятий (проектов)</w:t>
            </w:r>
          </w:p>
        </w:tc>
      </w:tr>
      <w:tr>
        <w:trPr>
          <w:trHeight w:val="987"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 Обеспечение долгосрочной устойчивости областного бюджета и повышение эффективности управления общественными финансами</w:t>
            </w:r>
          </w:p>
        </w:tc>
      </w:tr>
      <w:tr>
        <w:trPr>
          <w:trHeight w:val="1552"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2.1.</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Превышение ставки по привлеченным кредитам от кредитных организаций в бюджет Брянской области над ключевой ставкой, установленной Центральным Банком Российской Федерации</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w:t>
            </w:r>
          </w:p>
        </w:tc>
      </w:tr>
      <w:tr>
        <w:trPr>
          <w:trHeight w:val="1264"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2.2.</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Исполнение областного бюджета по доходам без учета безвозмездных поступлений к первоначально утвержденному уровню</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18</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12</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12</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12</w:t>
            </w:r>
          </w:p>
        </w:tc>
      </w:tr>
      <w:tr>
        <w:trPr>
          <w:trHeight w:val="2542"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2.3.</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Отношение доли объема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100</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100</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100</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100</w:t>
            </w:r>
          </w:p>
        </w:tc>
      </w:tr>
      <w:tr>
        <w:trPr>
          <w:trHeight w:val="2688"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2.4.</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Соотношение недополученных доходов по региональным налогам и по налогу на прибыль организаций в результате действия налоговых льгот, установленных в соответствии с законодательством Брянской области, к общему объему поступивших региональных налогов и налога на прибыль организаций</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10</w:t>
            </w:r>
          </w:p>
        </w:tc>
      </w:tr>
      <w:tr>
        <w:trPr>
          <w:trHeight w:val="562"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3. Совершенствование информационного обеспечения процессов планирования и исполнения областного бюджета</w:t>
            </w:r>
          </w:p>
        </w:tc>
      </w:tr>
      <w:tr>
        <w:trPr>
          <w:trHeight w:val="1690"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3.1.</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"Электронный бюджет"</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r>
      <w:tr>
        <w:trPr>
          <w:trHeight w:val="2460"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3.2.</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Доля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r>
      <w:tr>
        <w:trPr>
          <w:trHeight w:val="2310"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3.3.</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Доля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r>
      <w:tr>
        <w:trPr>
          <w:trHeight w:val="2055"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3.4.</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Группа субъектов по качеству управления финансами, к которой отнесена Брянская область в соответствии с утвержденной методикой оценки</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группа субъектов по итогам предшествующего года</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2</w:t>
            </w:r>
          </w:p>
        </w:tc>
      </w:tr>
      <w:tr>
        <w:trPr>
          <w:trHeight w:val="870"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4. Совершенствование системы контроля и качества финансового менеджмента главных распорядителей средств областного бюджета</w:t>
            </w:r>
          </w:p>
        </w:tc>
      </w:tr>
      <w:tr>
        <w:trPr>
          <w:trHeight w:val="1290"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4.1.</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Проведение оценки качества финансового менеджмента главных администраторов средств областного бюджета</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да (1) / нет (0)</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r>
      <w:tr>
        <w:trPr>
          <w:trHeight w:val="750"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5. Выравнивание бюджетной обеспеченности, поддержка мер по обеспечению сбалансированности местных бюджетов</w:t>
            </w:r>
          </w:p>
        </w:tc>
      </w:tr>
      <w:tr>
        <w:trPr>
          <w:trHeight w:val="2715"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5.1.</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Доля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 в общем количестве муниципальных районов (муниципальных округов, городских округов), получающих дотации из областного бюджета</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r>
      <w:tr>
        <w:trPr>
          <w:trHeight w:val="1305"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5.2.</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Сокращение величины разрыва среднего уровня расчетной бюджетной обеспеченности</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раз</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1,5</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1,5</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1,5</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1,5</w:t>
            </w:r>
          </w:p>
        </w:tc>
      </w:tr>
      <w:tr>
        <w:trPr>
          <w:trHeight w:val="2490"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5.3.</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Установление органами государственной власти субъектов Российской Федерации единых нормативов отчислений от отдельных неналоговых доходов, поступающих в бюджеты субъектов Российской Федерации, в местные бюджеты</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да (1) / нет (0)</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r>
      <w:tr>
        <w:trPr>
          <w:trHeight w:val="703"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6. Использование мер стимулирующего характера, направленных на повышение качества управления муниципальными финансами</w:t>
            </w:r>
          </w:p>
        </w:tc>
      </w:tr>
      <w:tr>
        <w:trPr>
          <w:trHeight w:val="2259"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6.1.</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Предоставление из областного бюджета дотаций бюджетам муниципальных районов (муниципальных округов, городских округов) на поощрение достижения наилучших показателей социально-экономического развития муниципальных районов (муниципальных округов, городских округов)</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да (1) / нет (0)</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r>
      <w:tr>
        <w:trPr>
          <w:trHeight w:val="1979"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6.2.</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Предоставление из областного бюджета дотаций бюджетам муниципальных районов (муниципальных округов, городских округов) в целях поощрения высоких темпов наращивания налогового (экономического) потенциала территорий</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да (1) / нет (0)</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r>
      <w:tr>
        <w:trPr>
          <w:trHeight w:val="1964"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6.3.</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Предоставление из областного бюджета дотаций бюджетам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p>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да (1) / нет (0)</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r>
      <w:tr>
        <w:trPr>
          <w:trHeight w:val="1823"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6.4.</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Предоставление грантов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да (1) / нет (0)</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w:t>
            </w:r>
          </w:p>
        </w:tc>
      </w:tr>
      <w:tr>
        <w:trPr>
          <w:trHeight w:val="561" w:hRule="atLeast"/>
        </w:trPr>
        <w:tc>
          <w:tcPr>
            <w:tcW w:w="1447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7. Повышение эффективности закупок для обеспечения государственных нужд</w:t>
            </w:r>
          </w:p>
        </w:tc>
      </w:tr>
      <w:tr>
        <w:trPr>
          <w:trHeight w:val="2683" w:hRule="atLeast"/>
        </w:trPr>
        <w:tc>
          <w:tcPr>
            <w:tcW w:w="63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7.1.</w:t>
            </w:r>
          </w:p>
        </w:tc>
        <w:tc>
          <w:tcPr>
            <w:tcW w:w="6182" w:type="dxa"/>
            <w:tcBorders>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Доля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w:t>
            </w:r>
          </w:p>
        </w:tc>
        <w:tc>
          <w:tcPr>
            <w:tcW w:w="1701"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7"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9"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558" w:type="dxa"/>
            <w:tcBorders>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r>
      <w:tr>
        <w:trPr>
          <w:trHeight w:val="3669"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7.2.</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Количество проведенных управлением государственных закупок Брянской области обучающих и информационных мероприятий для заказчиков Брянской области по применению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Федерального закона от 18 июля 2011 года № 223-ФЗ "О закупках товаров, работ, услуг отдельными видами юридических лиц"</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единица</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15</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16</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17</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18</w:t>
            </w:r>
          </w:p>
        </w:tc>
      </w:tr>
      <w:tr>
        <w:trPr>
          <w:trHeight w:val="5239"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7.3.</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Доля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в общем количестве таких заказчиков</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97</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100</w:t>
            </w:r>
          </w:p>
        </w:tc>
      </w:tr>
      <w:tr>
        <w:trPr>
          <w:trHeight w:val="2542" w:hRule="atLeast"/>
        </w:trPr>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7.4.</w:t>
            </w:r>
          </w:p>
        </w:tc>
        <w:tc>
          <w:tcPr>
            <w:tcW w:w="6182" w:type="dxa"/>
            <w:tcBorders>
              <w:top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olor w:val="000000"/>
                <w:sz w:val="28"/>
                <w:szCs w:val="28"/>
              </w:rPr>
            </w:pPr>
            <w:r>
              <w:rPr>
                <w:rFonts w:ascii="Times New Roman" w:hAnsi="Times New Roman"/>
                <w:color w:val="000000"/>
                <w:sz w:val="28"/>
                <w:szCs w:val="28"/>
              </w:rPr>
              <w:t>Доля признанных обоснованными жалоб на действие (бездействие) комиссии по осуществлению закупок управления государственных закупок Брянской области в общем количестве поступивших жалоб на закупки, осуществленные управлением государственными закупок Брянской области конкурентными способами</w:t>
            </w:r>
          </w:p>
        </w:tc>
        <w:tc>
          <w:tcPr>
            <w:tcW w:w="1701"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15</w:t>
            </w:r>
          </w:p>
        </w:tc>
        <w:tc>
          <w:tcPr>
            <w:tcW w:w="1417"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14</w:t>
            </w:r>
          </w:p>
        </w:tc>
        <w:tc>
          <w:tcPr>
            <w:tcW w:w="1419"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13</w:t>
            </w:r>
          </w:p>
        </w:tc>
        <w:tc>
          <w:tcPr>
            <w:tcW w:w="1558" w:type="dxa"/>
            <w:tcBorders>
              <w:top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12</w:t>
            </w:r>
          </w:p>
        </w:tc>
      </w:tr>
    </w:tbl>
    <w:p>
      <w:pPr>
        <w:pStyle w:val="Normal"/>
        <w:rPr/>
      </w:pPr>
      <w:r>
        <w:rPr/>
      </w:r>
    </w:p>
    <w:p>
      <w:pPr>
        <w:pStyle w:val="Normal"/>
        <w:rPr/>
      </w:pPr>
      <w:r>
        <w:rPr/>
      </w:r>
    </w:p>
    <w:p>
      <w:pPr>
        <w:sectPr>
          <w:type w:val="nextPage"/>
          <w:pgSz w:orient="landscape" w:w="16901" w:h="11950"/>
          <w:pgMar w:left="1134" w:right="1134" w:header="0" w:top="1701" w:footer="0" w:bottom="709" w:gutter="0"/>
          <w:pgNumType w:start="1" w:fmt="decimal"/>
          <w:formProt w:val="false"/>
          <w:textDirection w:val="lrTb"/>
          <w:docGrid w:type="default" w:linePitch="299" w:charSpace="4096"/>
        </w:sectPr>
        <w:pStyle w:val="Normal"/>
        <w:rPr/>
      </w:pPr>
      <w:r>
        <w:rPr/>
      </w:r>
    </w:p>
    <w:tbl>
      <w:tblPr>
        <w:tblW w:w="14569" w:type="dxa"/>
        <w:jc w:val="left"/>
        <w:tblInd w:w="-76" w:type="dxa"/>
        <w:tblLayout w:type="fixed"/>
        <w:tblCellMar>
          <w:top w:w="0" w:type="dxa"/>
          <w:left w:w="0" w:type="dxa"/>
          <w:bottom w:w="0" w:type="dxa"/>
          <w:right w:w="0" w:type="dxa"/>
        </w:tblCellMar>
        <w:tblLook w:firstRow="0" w:noVBand="0" w:lastRow="0" w:firstColumn="0" w:lastColumn="0" w:noHBand="0" w:val="0000"/>
      </w:tblPr>
      <w:tblGrid>
        <w:gridCol w:w="534"/>
        <w:gridCol w:w="4396"/>
        <w:gridCol w:w="1133"/>
        <w:gridCol w:w="1418"/>
        <w:gridCol w:w="851"/>
        <w:gridCol w:w="849"/>
        <w:gridCol w:w="709"/>
        <w:gridCol w:w="1559"/>
        <w:gridCol w:w="1559"/>
        <w:gridCol w:w="1559"/>
      </w:tblGrid>
      <w:tr>
        <w:trPr>
          <w:trHeight w:val="410" w:hRule="atLeast"/>
        </w:trPr>
        <w:tc>
          <w:tcPr>
            <w:tcW w:w="14567" w:type="dxa"/>
            <w:gridSpan w:val="10"/>
            <w:tcBorders/>
            <w:vAlign w:val="center"/>
          </w:tcPr>
          <w:p>
            <w:pPr>
              <w:pStyle w:val="Normal"/>
              <w:widowControl w:val="false"/>
              <w:spacing w:lineRule="auto" w:line="240" w:before="0" w:after="0"/>
              <w:jc w:val="right"/>
              <w:rPr>
                <w:rFonts w:ascii="Times New Roman" w:hAnsi="Times New Roman"/>
                <w:b/>
                <w:b/>
                <w:bCs/>
                <w:color w:val="000000"/>
              </w:rPr>
            </w:pPr>
            <w:r>
              <w:rPr>
                <w:rFonts w:ascii="Times New Roman" w:hAnsi="Times New Roman"/>
                <w:color w:val="000000"/>
                <w:sz w:val="28"/>
                <w:szCs w:val="28"/>
              </w:rPr>
              <w:t>Раздел 2</w:t>
            </w:r>
          </w:p>
          <w:p>
            <w:pPr>
              <w:pStyle w:val="Normal"/>
              <w:widowControl w:val="false"/>
              <w:spacing w:lineRule="auto" w:line="240" w:before="0" w:after="0"/>
              <w:jc w:val="right"/>
              <w:rPr>
                <w:rFonts w:ascii="Times New Roman" w:hAnsi="Times New Roman"/>
                <w:b/>
                <w:b/>
                <w:bCs/>
                <w:color w:val="000000"/>
              </w:rPr>
            </w:pPr>
            <w:r>
              <w:rPr>
                <w:rFonts w:ascii="Times New Roman" w:hAnsi="Times New Roman"/>
                <w:b/>
                <w:bCs/>
                <w:color w:val="000000"/>
              </w:rPr>
            </w:r>
          </w:p>
          <w:p>
            <w:pPr>
              <w:pStyle w:val="Normal"/>
              <w:widowControl w:val="false"/>
              <w:spacing w:lineRule="auto" w:line="240" w:before="0" w:after="0"/>
              <w:jc w:val="center"/>
              <w:rPr>
                <w:rFonts w:ascii="Times New Roman" w:hAnsi="Times New Roman"/>
                <w:b/>
                <w:b/>
                <w:bCs/>
                <w:color w:val="000000"/>
              </w:rPr>
            </w:pPr>
            <w:r>
              <w:rPr>
                <w:rFonts w:ascii="Times New Roman" w:hAnsi="Times New Roman"/>
                <w:b/>
                <w:bCs/>
                <w:color w:val="000000"/>
              </w:rPr>
              <w:t>План реализации государственной программы</w:t>
            </w:r>
          </w:p>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rPr>
              <w:t>«Управление государственными финансами Брянской области»</w:t>
            </w:r>
          </w:p>
        </w:tc>
      </w:tr>
      <w:tr>
        <w:trPr>
          <w:trHeight w:val="181" w:hRule="atLeast"/>
        </w:trPr>
        <w:tc>
          <w:tcPr>
            <w:tcW w:w="14567" w:type="dxa"/>
            <w:gridSpan w:val="10"/>
            <w:tcBorders/>
            <w:vAlign w:val="center"/>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rHeight w:val="288" w:hRule="atLeast"/>
        </w:trPr>
        <w:tc>
          <w:tcPr>
            <w:tcW w:w="534"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пп</w:t>
            </w:r>
          </w:p>
        </w:tc>
        <w:tc>
          <w:tcPr>
            <w:tcW w:w="4396" w:type="dxa"/>
            <w:vMerge w:val="restart"/>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Государственная программа, подпрограмма, основное мероприятие (проект), направление расходов, мероприятие</w:t>
            </w:r>
          </w:p>
        </w:tc>
        <w:tc>
          <w:tcPr>
            <w:tcW w:w="4960" w:type="dxa"/>
            <w:gridSpan w:val="5"/>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Код бюджетной классификации</w:t>
            </w:r>
          </w:p>
        </w:tc>
        <w:tc>
          <w:tcPr>
            <w:tcW w:w="4677"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Объем средств на реализацию, рублей</w:t>
            </w:r>
          </w:p>
        </w:tc>
      </w:tr>
      <w:tr>
        <w:trPr>
          <w:trHeight w:val="470" w:hRule="atLeast"/>
        </w:trPr>
        <w:tc>
          <w:tcPr>
            <w:tcW w:w="534" w:type="dxa"/>
            <w:vMerge w:val="continue"/>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vMerge w:val="continue"/>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113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ГРБС</w:t>
            </w:r>
          </w:p>
        </w:tc>
        <w:tc>
          <w:tcPr>
            <w:tcW w:w="141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ГП</w:t>
            </w:r>
          </w:p>
        </w:tc>
        <w:tc>
          <w:tcPr>
            <w:tcW w:w="85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ППГП, ТСЭ</w:t>
            </w:r>
          </w:p>
        </w:tc>
        <w:tc>
          <w:tcPr>
            <w:tcW w:w="84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ОМ</w:t>
            </w:r>
          </w:p>
        </w:tc>
        <w:tc>
          <w:tcPr>
            <w:tcW w:w="70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НР</w:t>
            </w:r>
          </w:p>
        </w:tc>
        <w:tc>
          <w:tcPr>
            <w:tcW w:w="155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2023</w:t>
            </w:r>
          </w:p>
        </w:tc>
        <w:tc>
          <w:tcPr>
            <w:tcW w:w="155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2024</w:t>
            </w:r>
          </w:p>
        </w:tc>
        <w:tc>
          <w:tcPr>
            <w:tcW w:w="155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2025</w:t>
            </w:r>
          </w:p>
        </w:tc>
      </w:tr>
      <w:tr>
        <w:trPr>
          <w:trHeight w:val="346" w:hRule="atLeast"/>
        </w:trPr>
        <w:tc>
          <w:tcPr>
            <w:tcW w:w="5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w:t>
            </w:r>
          </w:p>
        </w:tc>
        <w:tc>
          <w:tcPr>
            <w:tcW w:w="439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w:t>
            </w:r>
          </w:p>
        </w:tc>
        <w:tc>
          <w:tcPr>
            <w:tcW w:w="113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w:t>
            </w:r>
          </w:p>
        </w:tc>
        <w:tc>
          <w:tcPr>
            <w:tcW w:w="141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5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5</w:t>
            </w:r>
          </w:p>
        </w:tc>
        <w:tc>
          <w:tcPr>
            <w:tcW w:w="84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6</w:t>
            </w:r>
          </w:p>
        </w:tc>
        <w:tc>
          <w:tcPr>
            <w:tcW w:w="70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7</w:t>
            </w:r>
          </w:p>
        </w:tc>
        <w:tc>
          <w:tcPr>
            <w:tcW w:w="155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w:t>
            </w:r>
          </w:p>
        </w:tc>
        <w:tc>
          <w:tcPr>
            <w:tcW w:w="155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9</w:t>
            </w:r>
          </w:p>
        </w:tc>
        <w:tc>
          <w:tcPr>
            <w:tcW w:w="155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ind w:left="-2496" w:hanging="0"/>
              <w:jc w:val="center"/>
              <w:rPr>
                <w:rFonts w:ascii="Arial" w:hAnsi="Arial" w:cs="Arial"/>
                <w:sz w:val="24"/>
                <w:szCs w:val="24"/>
              </w:rPr>
            </w:pPr>
            <w:r>
              <w:rPr>
                <w:rFonts w:ascii="Times New Roman" w:hAnsi="Times New Roman"/>
                <w:color w:val="000000"/>
                <w:sz w:val="18"/>
                <w:szCs w:val="18"/>
              </w:rPr>
              <w:t>10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b/>
                <w:bCs/>
                <w:color w:val="000000"/>
                <w:sz w:val="18"/>
                <w:szCs w:val="18"/>
              </w:rPr>
              <w:t>Управление государственными финансами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х</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х</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4 076 510 335,09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3 184 245 788,77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3 260 487 317,65</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4 076 510 335,09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3 184 245 788,77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3 260 487 317,65</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4 056 668 126,09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3 165 073 194,77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3 241 314 723,65</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Управление государственных закупок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833</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b/>
                <w:bCs/>
                <w:color w:val="000000"/>
                <w:sz w:val="18"/>
                <w:szCs w:val="18"/>
              </w:rPr>
              <w:t>Обеспечение долгосрочной устойчивости областного бюджета и повышение эффективности управления общественными финансами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236 486 595,09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300 373 663,77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376 615 192,65</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236 486 595,09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300 373 663,77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376 615 192,65</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236 486 595,09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300 373 663,77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376 615 192,65</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Обеспечение деятельности заместителей Губернатора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10020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10020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10020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6 270 095,00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1.2</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108 578 362,00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1.3</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Обслуживание государственного внутреннего долга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121 638 138,09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185 525 206,77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261 766 735,65</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121 638 138,09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185 525 206,77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261 766 735,65</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01</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121 638 138,09</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185 525 206,77</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261 766 735,65</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2</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b/>
                <w:bCs/>
                <w:color w:val="000000"/>
                <w:sz w:val="18"/>
                <w:szCs w:val="18"/>
              </w:rPr>
              <w:t>Подпрограмма "Совершенствование управления общественными финансами"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1</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109 707 231,00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109 707 231,00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109 707 231,00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109 707 231,00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109 707 231,00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Совершенствование информационного обеспечения процессов планирования и исполнения областного бюджета</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2.1.1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Сопровождение и модернизация программных и технических комплексов управления общественными финансами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89 707 231,00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2.1.1.1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Приобретение дополнительного компьютерного оборудования, периферийного оборудования, запасных частей и модулей, копировальной техники, оргтехники, систем охлаждения и вентиляции, оборудования телекоммуникаций и связи (в том числе монтажного), источников бесперебойного питания</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515 000,00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515 000,00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515 000,00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515 000,00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515 000,00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515 000,00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2.1.1.2</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Плата за услуги по сопровождению и развитию автоматизированной системы управления бюджетным процессом Брянской области, за услуги по защите конфиденциальных (в том числе персональных) данных в информационных системах, аттестацию и регистрацию ГИС</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74 995 187,00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74 995 187,00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74 995 187,00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74 995 187,00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74 995 187,00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74 995 187,00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2.1.1.3</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Абонентская плата за сопровождение и обслуживание линий связи, канал Интернет, выделенные линии, обслуживание серверов связи (пограничные, прокси, Net-сервер и пр.), АТС и иные услуги связи и телекоммуникаций)</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13 747 044,00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13 747 044,00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13 747 044,00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13 747 044,00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13 747 044,00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13 747 044,00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2.1.1.4</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Ремонт компьютерного оборудования, периферийного оборудования, копировальной техники, орг. техники, систем охлаждения и вентиляции, оборудования телекоммуникаций и связи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450 000,00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450 000,00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450 000,00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02</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450 000,00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450 000,00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450 000,00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2.2</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Совершенствование системы контроля и качества финансового менеджмента главных распорядителей средств областного бюджета</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03</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03</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03</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2.2.1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Стимулирование органов государственной власти Брянской области, государственных органов Брянской области по результатам оценки качества финансового менеджмента</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03</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03</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03</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15910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20 000 000,00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3</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b/>
                <w:bCs/>
                <w:color w:val="000000"/>
                <w:sz w:val="18"/>
                <w:szCs w:val="18"/>
              </w:rPr>
              <w:t>Подпрограмма "Межбюджетные отношения с муниципальными образованиями"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2</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3 710 474 300,00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2 754 992 300,00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2 754 992 300,00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3 710 474 300,00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2</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3 710 474 300,00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Выравнивание бюджетной обеспеченности, поддержка мер по обеспечению сбалансированности местных бюджетов</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3 687 474 300,00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3 687 474 300,00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3 687 474 300,00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2 754 992 300,00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3.1.1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Выравнивание бюджетной обеспеченности муниципальных районов (муниципальных округов, городских округов)</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15820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15820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15820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2 725 936 000,00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3.1.2</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Выравнивание бюджетной обеспеченности поселений</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15840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15840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15840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29 056 300,00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3.1.3</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Поддержка мер по обеспечению сбалансированности бюджетов муниципальных районов (муниципальных округов, городских округов)</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15850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932 482 000,00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15850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932 482 000,00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04</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15850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932 482 000,00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3.2</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Использование мер стимулирующего характера, направленных на повышение качества управления муниципальными финансами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23 000 000,00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23 000 000,00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23 000 000,00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3.2.1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15880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15880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15880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5 000 000,00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3.2.2</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Поощрение достижения наилучших показателей социально-экономического развития муниципальных районов (муниципальных округов, городских округов)</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15890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15890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15890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10 000 000,00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3.2.3</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Стимулирование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3.2.4</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Поощрение высоких темпов наращивания налогового (экономического) потенциала территорий</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15930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15930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Департамент финансов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818</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05</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15930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4 000 000,00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0,00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4</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b/>
                <w:bCs/>
                <w:color w:val="000000"/>
                <w:sz w:val="18"/>
                <w:szCs w:val="18"/>
              </w:rPr>
              <w:t>Подпрограмма "Содействие в сфере государственных закупок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3</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b/>
                <w:bCs/>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b/>
                <w:bCs/>
                <w:color w:val="000000"/>
                <w:sz w:val="18"/>
                <w:szCs w:val="18"/>
              </w:rPr>
              <w:t>19 172 594,00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Управление государственных закупок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833</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3</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00</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Повышение эффективности закупок для обеспечения государственных нужд</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06</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06</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Управление государственных закупок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833</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06</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4.1.1</w:t>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х</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06</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областной бюджет</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x</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06</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496" w:hRule="atLeast"/>
        </w:trPr>
        <w:tc>
          <w:tcPr>
            <w:tcW w:w="534" w:type="dxa"/>
            <w:tcBorders>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left w:val="single" w:sz="8" w:space="0" w:color="000000"/>
              <w:right w:val="single" w:sz="8" w:space="0" w:color="000000"/>
            </w:tcBorders>
          </w:tcPr>
          <w:p>
            <w:pPr>
              <w:pStyle w:val="Normal"/>
              <w:widowControl w:val="false"/>
              <w:spacing w:lineRule="auto" w:line="240" w:before="0" w:after="0"/>
              <w:rPr>
                <w:rFonts w:ascii="Arial" w:hAnsi="Arial" w:cs="Arial"/>
                <w:sz w:val="24"/>
                <w:szCs w:val="24"/>
              </w:rPr>
            </w:pPr>
            <w:r>
              <w:rPr>
                <w:rFonts w:ascii="Times New Roman" w:hAnsi="Times New Roman"/>
                <w:color w:val="000000"/>
                <w:sz w:val="18"/>
                <w:szCs w:val="18"/>
              </w:rPr>
              <w:t xml:space="preserve"> </w:t>
            </w:r>
            <w:r>
              <w:rPr>
                <w:rFonts w:ascii="Times New Roman" w:hAnsi="Times New Roman"/>
                <w:color w:val="000000"/>
                <w:sz w:val="18"/>
                <w:szCs w:val="18"/>
              </w:rPr>
              <w:t>Управление государственных закупок Брянской области</w:t>
            </w:r>
          </w:p>
        </w:tc>
        <w:tc>
          <w:tcPr>
            <w:tcW w:w="1133"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833</w:t>
            </w:r>
          </w:p>
        </w:tc>
        <w:tc>
          <w:tcPr>
            <w:tcW w:w="1418"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18</w:t>
            </w:r>
          </w:p>
        </w:tc>
        <w:tc>
          <w:tcPr>
            <w:tcW w:w="851"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4</w:t>
            </w:r>
          </w:p>
        </w:tc>
        <w:tc>
          <w:tcPr>
            <w:tcW w:w="84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06</w:t>
            </w:r>
          </w:p>
        </w:tc>
        <w:tc>
          <w:tcPr>
            <w:tcW w:w="709" w:type="dxa"/>
            <w:tcBorders>
              <w:top w:val="single" w:sz="8" w:space="0" w:color="000000"/>
              <w:left w:val="single" w:sz="8" w:space="0" w:color="000000"/>
              <w:right w:val="single" w:sz="8" w:space="0" w:color="000000"/>
            </w:tcBorders>
          </w:tcPr>
          <w:p>
            <w:pPr>
              <w:pStyle w:val="Normal"/>
              <w:widowControl w:val="false"/>
              <w:spacing w:lineRule="auto" w:line="240" w:before="0" w:after="0"/>
              <w:jc w:val="center"/>
              <w:rPr>
                <w:rFonts w:ascii="Arial" w:hAnsi="Arial" w:cs="Arial"/>
                <w:sz w:val="24"/>
                <w:szCs w:val="24"/>
              </w:rPr>
            </w:pPr>
            <w:r>
              <w:rPr>
                <w:rFonts w:ascii="Times New Roman" w:hAnsi="Times New Roman"/>
                <w:color w:val="000000"/>
                <w:sz w:val="18"/>
                <w:szCs w:val="18"/>
              </w:rPr>
              <w:t>10100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19 842 209,00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c>
          <w:tcPr>
            <w:tcW w:w="1559" w:type="dxa"/>
            <w:tcBorders>
              <w:top w:val="single" w:sz="8" w:space="0" w:color="000000"/>
              <w:left w:val="single" w:sz="8" w:space="0" w:color="000000"/>
              <w:right w:val="single" w:sz="8" w:space="0" w:color="000000"/>
            </w:tcBorders>
          </w:tcPr>
          <w:p>
            <w:pPr>
              <w:pStyle w:val="Normal"/>
              <w:widowControl w:val="false"/>
              <w:spacing w:lineRule="auto" w:line="240" w:before="0" w:after="0"/>
              <w:jc w:val="right"/>
              <w:rPr>
                <w:rFonts w:ascii="Arial" w:hAnsi="Arial" w:cs="Arial"/>
                <w:sz w:val="24"/>
                <w:szCs w:val="24"/>
              </w:rPr>
            </w:pPr>
            <w:r>
              <w:rPr>
                <w:rFonts w:ascii="Times New Roman" w:hAnsi="Times New Roman"/>
                <w:color w:val="000000"/>
                <w:sz w:val="18"/>
                <w:szCs w:val="18"/>
              </w:rPr>
              <w:t>19 172 594,00</w:t>
            </w:r>
          </w:p>
        </w:tc>
      </w:tr>
      <w:tr>
        <w:trPr>
          <w:trHeight w:val="288" w:hRule="atLeast"/>
        </w:trPr>
        <w:tc>
          <w:tcPr>
            <w:tcW w:w="534"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4396"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1133"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1418"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851"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849"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709"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1559"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1559"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1559" w:type="dxa"/>
            <w:tcBorders>
              <w:top w:val="single" w:sz="8"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bl>
    <w:p>
      <w:pPr>
        <w:pStyle w:val="Normal"/>
        <w:rPr/>
      </w:pPr>
      <w:r>
        <w:rPr/>
      </w:r>
    </w:p>
    <w:p>
      <w:pPr>
        <w:sectPr>
          <w:type w:val="nextPage"/>
          <w:pgSz w:orient="landscape" w:w="16901" w:h="11950"/>
          <w:pgMar w:left="1134" w:right="1134" w:header="0" w:top="1276" w:footer="0" w:bottom="850" w:gutter="0"/>
          <w:pgNumType w:start="1" w:fmt="decimal"/>
          <w:formProt w:val="false"/>
          <w:textDirection w:val="lrTb"/>
          <w:docGrid w:type="default" w:linePitch="299" w:charSpace="4096"/>
        </w:sectPr>
        <w:pStyle w:val="Normal"/>
        <w:rPr/>
      </w:pPr>
      <w:r>
        <w:rPr/>
      </w:r>
    </w:p>
    <w:p>
      <w:pPr>
        <w:pStyle w:val="Normal"/>
        <w:widowControl w:val="false"/>
        <w:numPr>
          <w:ilvl w:val="0"/>
          <w:numId w:val="0"/>
        </w:numPr>
        <w:suppressAutoHyphens w:val="true"/>
        <w:spacing w:lineRule="auto" w:line="264" w:before="0" w:after="0"/>
        <w:ind w:left="4536" w:hanging="0"/>
        <w:outlineLvl w:val="1"/>
        <w:rPr>
          <w:rFonts w:ascii="Times New Roman" w:hAnsi="Times New Roman"/>
          <w:sz w:val="28"/>
          <w:szCs w:val="28"/>
        </w:rPr>
      </w:pPr>
      <w:r>
        <w:rPr>
          <w:rFonts w:ascii="Times New Roman" w:hAnsi="Times New Roman"/>
          <w:sz w:val="28"/>
          <w:szCs w:val="28"/>
        </w:rPr>
        <w:t xml:space="preserve">Приложение </w:t>
      </w:r>
    </w:p>
    <w:p>
      <w:pPr>
        <w:pStyle w:val="Normal"/>
        <w:widowControl w:val="false"/>
        <w:numPr>
          <w:ilvl w:val="0"/>
          <w:numId w:val="0"/>
        </w:numPr>
        <w:suppressAutoHyphens w:val="true"/>
        <w:spacing w:lineRule="auto" w:line="264" w:before="0" w:after="0"/>
        <w:ind w:left="4536" w:hanging="0"/>
        <w:outlineLvl w:val="1"/>
        <w:rPr>
          <w:rFonts w:ascii="Times New Roman" w:hAnsi="Times New Roman"/>
          <w:sz w:val="28"/>
          <w:szCs w:val="28"/>
        </w:rPr>
      </w:pPr>
      <w:r>
        <w:rPr>
          <w:rFonts w:ascii="Times New Roman" w:hAnsi="Times New Roman"/>
          <w:sz w:val="28"/>
          <w:szCs w:val="28"/>
        </w:rPr>
        <w:t>к государственной программе «Управление государственными финансами Брянской области»</w:t>
      </w:r>
    </w:p>
    <w:p>
      <w:pPr>
        <w:pStyle w:val="Normal"/>
        <w:widowControl w:val="false"/>
        <w:numPr>
          <w:ilvl w:val="0"/>
          <w:numId w:val="0"/>
        </w:numPr>
        <w:suppressAutoHyphens w:val="true"/>
        <w:spacing w:lineRule="auto" w:line="264" w:before="0" w:after="0"/>
        <w:ind w:firstLine="709"/>
        <w:jc w:val="center"/>
        <w:outlineLvl w:val="1"/>
        <w:rPr>
          <w:rFonts w:ascii="Times New Roman" w:hAnsi="Times New Roman"/>
          <w:b/>
          <w:b/>
          <w:sz w:val="28"/>
          <w:szCs w:val="28"/>
        </w:rPr>
      </w:pPr>
      <w:r>
        <w:rPr>
          <w:rFonts w:ascii="Times New Roman" w:hAnsi="Times New Roman"/>
          <w:b/>
          <w:sz w:val="28"/>
          <w:szCs w:val="28"/>
        </w:rPr>
      </w:r>
    </w:p>
    <w:p>
      <w:pPr>
        <w:pStyle w:val="Normal"/>
        <w:widowControl w:val="false"/>
        <w:numPr>
          <w:ilvl w:val="0"/>
          <w:numId w:val="0"/>
        </w:numPr>
        <w:suppressAutoHyphens w:val="true"/>
        <w:spacing w:lineRule="auto" w:line="264" w:before="0" w:after="0"/>
        <w:ind w:firstLine="709"/>
        <w:jc w:val="center"/>
        <w:outlineLvl w:val="1"/>
        <w:rPr>
          <w:rFonts w:ascii="Times New Roman" w:hAnsi="Times New Roman"/>
          <w:b/>
          <w:b/>
          <w:sz w:val="28"/>
          <w:szCs w:val="28"/>
        </w:rPr>
      </w:pPr>
      <w:r>
        <w:rPr>
          <w:rFonts w:ascii="Times New Roman" w:hAnsi="Times New Roman"/>
          <w:b/>
          <w:sz w:val="28"/>
          <w:szCs w:val="28"/>
        </w:rPr>
      </w:r>
    </w:p>
    <w:p>
      <w:pPr>
        <w:pStyle w:val="Normal"/>
        <w:numPr>
          <w:ilvl w:val="0"/>
          <w:numId w:val="0"/>
        </w:numPr>
        <w:suppressAutoHyphens w:val="true"/>
        <w:spacing w:lineRule="auto" w:line="264" w:before="0" w:after="0"/>
        <w:jc w:val="center"/>
        <w:outlineLvl w:val="1"/>
        <w:rPr>
          <w:rFonts w:ascii="Times New Roman" w:hAnsi="Times New Roman"/>
          <w:sz w:val="28"/>
          <w:szCs w:val="28"/>
        </w:rPr>
      </w:pPr>
      <w:r>
        <w:rPr>
          <w:rFonts w:ascii="Times New Roman" w:hAnsi="Times New Roman"/>
          <w:sz w:val="28"/>
          <w:szCs w:val="28"/>
        </w:rPr>
        <w:t>Методика расчета значений показателей (индикаторов) государственной программы «Управление государственными финансами Брянской области»</w:t>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rPr>
      </w:r>
    </w:p>
    <w:p>
      <w:pPr>
        <w:pStyle w:val="Normal"/>
        <w:numPr>
          <w:ilvl w:val="0"/>
          <w:numId w:val="1"/>
        </w:numPr>
        <w:suppressAutoHyphens w:val="true"/>
        <w:spacing w:lineRule="auto" w:line="240" w:before="0" w:after="0"/>
        <w:contextualSpacing/>
        <w:jc w:val="center"/>
        <w:rPr>
          <w:rFonts w:ascii="Times New Roman" w:hAnsi="Times New Roman"/>
          <w:sz w:val="28"/>
          <w:szCs w:val="28"/>
          <w:lang w:eastAsia="en-US"/>
        </w:rPr>
      </w:pPr>
      <w:r>
        <w:rPr>
          <w:rFonts w:ascii="Times New Roman" w:hAnsi="Times New Roman"/>
          <w:sz w:val="28"/>
          <w:szCs w:val="28"/>
          <w:lang w:eastAsia="en-US"/>
        </w:rPr>
        <w:t>Показатели (индикаторы) государственной программы</w:t>
      </w:r>
    </w:p>
    <w:p>
      <w:pPr>
        <w:pStyle w:val="Normal"/>
        <w:suppressAutoHyphens w:val="true"/>
        <w:spacing w:lineRule="auto" w:line="240" w:before="0" w:after="0"/>
        <w:jc w:val="center"/>
        <w:rPr>
          <w:rFonts w:ascii="Times New Roman" w:hAnsi="Times New Roman"/>
          <w:sz w:val="28"/>
          <w:szCs w:val="28"/>
          <w:lang w:eastAsia="en-US"/>
        </w:rPr>
      </w:pPr>
      <w:r>
        <w:rPr>
          <w:rFonts w:ascii="Times New Roman" w:hAnsi="Times New Roman"/>
          <w:sz w:val="28"/>
          <w:szCs w:val="28"/>
          <w:lang w:eastAsia="en-US"/>
        </w:rPr>
      </w:r>
    </w:p>
    <w:p>
      <w:pPr>
        <w:pStyle w:val="Normal"/>
        <w:widowControl w:val="false"/>
        <w:numPr>
          <w:ilvl w:val="1"/>
          <w:numId w:val="2"/>
        </w:numPr>
        <w:suppressAutoHyphens w:val="true"/>
        <w:spacing w:lineRule="auto" w:line="264" w:before="0" w:after="0"/>
        <w:ind w:left="0" w:firstLine="709"/>
        <w:contextualSpacing/>
        <w:jc w:val="both"/>
        <w:rPr>
          <w:rFonts w:ascii="Times New Roman" w:hAnsi="Times New Roman"/>
          <w:sz w:val="28"/>
          <w:szCs w:val="28"/>
        </w:rPr>
      </w:pPr>
      <w:r>
        <w:rPr>
          <w:rFonts w:ascii="Times New Roman" w:hAnsi="Times New Roman"/>
          <w:sz w:val="28"/>
          <w:szCs w:val="28"/>
        </w:rPr>
        <w:t>Отношение общего объема государственного долга Брянской области (без учета бюджетных кредитов, предоставленных на реализацию инфраструктурных проектов) к сумме доходов областного бюджета без учета безвозмездных поступлений определяется следующим образом:</w:t>
      </w:r>
    </w:p>
    <w:p>
      <w:pPr>
        <w:pStyle w:val="Normal"/>
        <w:widowControl w:val="false"/>
        <w:suppressAutoHyphens w:val="true"/>
        <w:spacing w:lineRule="auto" w:line="264" w:before="0" w:after="0"/>
        <w:ind w:left="709" w:hanging="0"/>
        <w:contextualSpacing/>
        <w:jc w:val="both"/>
        <w:rPr>
          <w:rFonts w:ascii="Times New Roman" w:hAnsi="Times New Roman"/>
          <w:sz w:val="14"/>
          <w:szCs w:val="14"/>
        </w:rPr>
      </w:pPr>
      <w:r>
        <w:rPr>
          <w:rFonts w:ascii="Times New Roman" w:hAnsi="Times New Roman"/>
          <w:sz w:val="14"/>
          <w:szCs w:val="14"/>
        </w:rPr>
      </w:r>
    </w:p>
    <w:p>
      <w:pPr>
        <w:pStyle w:val="Normal"/>
        <w:widowControl w:val="false"/>
        <w:suppressAutoHyphens w:val="true"/>
        <w:spacing w:lineRule="auto" w:line="264" w:before="0" w:after="0"/>
        <w:ind w:left="709" w:hanging="0"/>
        <w:contextualSpacing/>
        <w:jc w:val="center"/>
        <w:rPr>
          <w:rFonts w:ascii="Times New Roman" w:hAnsi="Times New Roman"/>
          <w:i/>
          <w:i/>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1.1</m:t>
            </m:r>
          </m:sub>
        </m:sSub>
        <m:r>
          <w:rPr>
            <w:rFonts w:ascii="Cambria Math" w:hAnsi="Cambria Math"/>
          </w:rPr>
          <m:t xml:space="preserve">=</m:t>
        </m:r>
        <m:f>
          <m:num>
            <m:sSub>
              <m:e>
                <m:r>
                  <w:rPr>
                    <w:rFonts w:ascii="Cambria Math" w:hAnsi="Cambria Math"/>
                  </w:rPr>
                  <m:t xml:space="preserve">D</m:t>
                </m:r>
              </m:e>
              <m:sub>
                <m:r>
                  <w:rPr>
                    <w:rFonts w:ascii="Cambria Math" w:hAnsi="Cambria Math"/>
                  </w:rPr>
                  <m:t xml:space="preserve">c</m:t>
                </m:r>
              </m:sub>
            </m:sSub>
            <m:r>
              <w:rPr>
                <w:rFonts w:ascii="Cambria Math" w:hAnsi="Cambria Math"/>
              </w:rPr>
              <m:t xml:space="preserve">−</m:t>
            </m:r>
            <m:sSub>
              <m:e>
                <m:r>
                  <w:rPr>
                    <w:rFonts w:ascii="Cambria Math" w:hAnsi="Cambria Math"/>
                  </w:rPr>
                  <m:t xml:space="preserve">D</m:t>
                </m:r>
              </m:e>
              <m:sub>
                <m:r>
                  <w:rPr>
                    <w:rFonts w:ascii="Cambria Math" w:hAnsi="Cambria Math"/>
                  </w:rPr>
                  <m:t xml:space="preserve">e</m:t>
                </m:r>
              </m:sub>
            </m:sSub>
          </m:num>
          <m:den>
            <m:sSub>
              <m:e>
                <m:r>
                  <w:rPr>
                    <w:rFonts w:ascii="Cambria Math" w:hAnsi="Cambria Math"/>
                  </w:rPr>
                  <m:t xml:space="preserve">I</m:t>
                </m:r>
              </m:e>
              <m:sub>
                <m:r>
                  <w:rPr>
                    <w:rFonts w:ascii="Cambria Math" w:hAnsi="Cambria Math"/>
                  </w:rPr>
                  <m:t xml:space="preserve">c</m:t>
                </m:r>
              </m:sub>
            </m:sSub>
            <m:r>
              <w:rPr>
                <w:rFonts w:ascii="Cambria Math" w:hAnsi="Cambria Math"/>
              </w:rPr>
              <m:t xml:space="preserve">−</m:t>
            </m:r>
            <m:sSub>
              <m:e>
                <m:r>
                  <w:rPr>
                    <w:rFonts w:ascii="Cambria Math" w:hAnsi="Cambria Math"/>
                  </w:rPr>
                  <m:t xml:space="preserve">I</m:t>
                </m:r>
              </m:e>
              <m:sub/>
            </m:sSub>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firstLine="709"/>
        <w:contextualSpacing/>
        <w:jc w:val="both"/>
        <w:rPr>
          <w:rFonts w:ascii="Times New Roman" w:hAnsi="Times New Roman"/>
          <w:sz w:val="14"/>
          <w:szCs w:val="14"/>
        </w:rPr>
      </w:pPr>
      <w:r>
        <w:rPr>
          <w:rFonts w:ascii="Times New Roman" w:hAnsi="Times New Roman"/>
          <w:sz w:val="14"/>
          <w:szCs w:val="14"/>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1.1</w:t>
      </w:r>
      <w:r>
        <w:rPr>
          <w:rFonts w:ascii="Times New Roman" w:hAnsi="Times New Roman"/>
          <w:sz w:val="28"/>
          <w:szCs w:val="28"/>
        </w:rPr>
        <w:t xml:space="preserve"> – отношение общего объема государственного долга Брянской области (без учета бюджетных кредитов, предоставленных на реализацию инфраструктурных проектов) к сумме доходов областного бюджета без учета безвозмездных поступлений,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D</w:t>
      </w:r>
      <w:r>
        <w:rPr>
          <w:rFonts w:ascii="Times New Roman" w:hAnsi="Times New Roman"/>
          <w:sz w:val="28"/>
          <w:szCs w:val="28"/>
          <w:vertAlign w:val="subscript"/>
        </w:rPr>
        <w:t>с</w:t>
      </w:r>
      <w:r>
        <w:rPr>
          <w:rFonts w:ascii="Times New Roman" w:hAnsi="Times New Roman"/>
          <w:sz w:val="28"/>
          <w:szCs w:val="28"/>
        </w:rPr>
        <w:t xml:space="preserve"> – общий объем государственного долга Брянской области на отчетную дату,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D</w:t>
      </w:r>
      <w:r>
        <w:rPr>
          <w:rFonts w:ascii="Times New Roman" w:hAnsi="Times New Roman"/>
          <w:sz w:val="28"/>
          <w:szCs w:val="28"/>
          <w:vertAlign w:val="subscript"/>
        </w:rPr>
        <w:t>e</w:t>
      </w:r>
      <w:r>
        <w:rPr>
          <w:rFonts w:ascii="Times New Roman" w:hAnsi="Times New Roman"/>
          <w:sz w:val="28"/>
          <w:szCs w:val="28"/>
        </w:rPr>
        <w:t xml:space="preserve"> - общий объем долговых обязательств Брянской области по кредитам, предоставленным бюджету Брянской области из федерального бюджета на финансовое обеспечение реализации инфраструктурных проектов, на отчетную дату,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vertAlign w:val="subscript"/>
        </w:rPr>
        <w:t>с</w:t>
      </w:r>
      <w:r>
        <w:rPr>
          <w:rFonts w:ascii="Times New Roman" w:hAnsi="Times New Roman"/>
          <w:sz w:val="28"/>
          <w:szCs w:val="28"/>
        </w:rPr>
        <w:t xml:space="preserve"> – сумма доходов областного бюджета в соответствующем финансовом году,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vertAlign w:val="subscript"/>
          <w:lang w:val="en-US"/>
        </w:rPr>
        <w:t>in</w:t>
      </w:r>
      <w:r>
        <w:rPr>
          <w:rFonts w:ascii="Times New Roman" w:hAnsi="Times New Roman"/>
          <w:sz w:val="28"/>
          <w:szCs w:val="28"/>
        </w:rPr>
        <w:t xml:space="preserve"> – объем безвозмездных поступлений в соответствующем финансовом году,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По итогам финансового года значение показателя определяется как отношение фактического общего объема государственного долга Брянской области без учета фактического общего объема долговых обязательств Брянской области по кредитам, предоставленным бюджету Брянской области из федерального бюджета на финансовое обеспечение реализации инфраструктурных проектов,</w:t>
      </w:r>
      <w:bookmarkStart w:id="0" w:name="_GoBack"/>
      <w:bookmarkEnd w:id="0"/>
      <w:r>
        <w:rPr>
          <w:rFonts w:ascii="Times New Roman" w:hAnsi="Times New Roman"/>
          <w:sz w:val="28"/>
          <w:szCs w:val="28"/>
        </w:rPr>
        <w:t xml:space="preserve"> к фактическому общему объему доходов областного бюджета без учета безвозмездных поступлений.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об объеме государственного внутреннего долга Брянской области ежемесячно размещается в составе выписки из государственной долговой книги Брянской области на официальном сайте Департамента финансов Брянской области (bryanskoblfin.ru).</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eastAsia="en-US"/>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(bryanskoblfin.ru), Едином портале бюджетной системы Российской Федерации (</w:t>
      </w:r>
      <w:r>
        <w:rPr>
          <w:rFonts w:ascii="Times New Roman" w:hAnsi="Times New Roman"/>
          <w:sz w:val="28"/>
          <w:szCs w:val="28"/>
          <w:lang w:val="en-US" w:eastAsia="en-US"/>
        </w:rPr>
        <w:t>budget</w:t>
      </w:r>
      <w:r>
        <w:rPr>
          <w:rFonts w:ascii="Times New Roman" w:hAnsi="Times New Roman"/>
          <w:sz w:val="28"/>
          <w:szCs w:val="28"/>
          <w:lang w:eastAsia="en-US"/>
        </w:rPr>
        <w:t>.</w:t>
      </w:r>
      <w:r>
        <w:rPr>
          <w:rFonts w:ascii="Times New Roman" w:hAnsi="Times New Roman"/>
          <w:sz w:val="28"/>
          <w:szCs w:val="28"/>
          <w:lang w:val="en-US" w:eastAsia="en-US"/>
        </w:rPr>
        <w:t>gov</w:t>
      </w:r>
      <w:r>
        <w:rPr>
          <w:rFonts w:ascii="Times New Roman" w:hAnsi="Times New Roman"/>
          <w:sz w:val="28"/>
          <w:szCs w:val="28"/>
          <w:lang w:eastAsia="en-US"/>
        </w:rPr>
        <w:t>.</w:t>
      </w:r>
      <w:r>
        <w:rPr>
          <w:rFonts w:ascii="Times New Roman" w:hAnsi="Times New Roman"/>
          <w:sz w:val="28"/>
          <w:szCs w:val="28"/>
          <w:lang w:val="en-US" w:eastAsia="en-US"/>
        </w:rPr>
        <w:t>ru</w:t>
      </w:r>
      <w:r>
        <w:rPr>
          <w:rFonts w:ascii="Times New Roman" w:hAnsi="Times New Roman"/>
          <w:sz w:val="28"/>
          <w:szCs w:val="28"/>
          <w:lang w:eastAsia="en-US"/>
        </w:rPr>
        <w:t>) или на официальном сайте Федерального казначейства (roskazna.gov.ru).</w:t>
      </w:r>
    </w:p>
    <w:p>
      <w:pPr>
        <w:pStyle w:val="Normal"/>
        <w:widowControl w:val="false"/>
        <w:numPr>
          <w:ilvl w:val="1"/>
          <w:numId w:val="2"/>
        </w:numPr>
        <w:suppressAutoHyphens w:val="true"/>
        <w:spacing w:lineRule="auto" w:line="264" w:before="0" w:after="0"/>
        <w:ind w:left="0" w:firstLine="709"/>
        <w:contextualSpacing/>
        <w:jc w:val="both"/>
        <w:rPr>
          <w:rFonts w:ascii="Times New Roman" w:hAnsi="Times New Roman"/>
          <w:sz w:val="28"/>
          <w:szCs w:val="28"/>
        </w:rPr>
      </w:pPr>
      <w:r>
        <w:rPr>
          <w:rFonts w:ascii="Times New Roman" w:hAnsi="Times New Roman"/>
          <w:sz w:val="28"/>
          <w:szCs w:val="28"/>
        </w:rPr>
        <w:t>Отношение общего объема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безвозмездных поступлений определяется следующим образом:</w:t>
      </w:r>
    </w:p>
    <w:p>
      <w:pPr>
        <w:pStyle w:val="Normal"/>
        <w:widowControl w:val="false"/>
        <w:suppressAutoHyphens w:val="true"/>
        <w:spacing w:lineRule="auto" w:line="264" w:before="0" w:after="0"/>
        <w:jc w:val="center"/>
        <w:rPr>
          <w:rFonts w:ascii="Times New Roman" w:hAnsi="Times New Roman"/>
          <w:i/>
          <w:i/>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1.2</m:t>
            </m:r>
          </m:sub>
        </m:sSub>
        <m:r>
          <w:rPr>
            <w:rFonts w:ascii="Cambria Math" w:hAnsi="Cambria Math"/>
          </w:rPr>
          <m:t xml:space="preserve">=</m:t>
        </m:r>
        <m:f>
          <m:num>
            <m:sSub>
              <m:e>
                <m:r>
                  <w:rPr>
                    <w:rFonts w:ascii="Cambria Math" w:hAnsi="Cambria Math"/>
                  </w:rPr>
                  <m:t xml:space="preserve">D</m:t>
                </m:r>
              </m:e>
              <m:sub>
                <m:r>
                  <w:rPr>
                    <w:rFonts w:ascii="Cambria Math" w:hAnsi="Cambria Math"/>
                  </w:rPr>
                  <m:t xml:space="preserve">bc</m:t>
                </m:r>
              </m:sub>
            </m:sSub>
          </m:num>
          <m:den>
            <m:sSub>
              <m:e>
                <m:r>
                  <w:rPr>
                    <w:rFonts w:ascii="Cambria Math" w:hAnsi="Cambria Math"/>
                  </w:rPr>
                  <m:t xml:space="preserve">I</m:t>
                </m:r>
              </m:e>
              <m:sub>
                <m:r>
                  <w:rPr>
                    <w:rFonts w:ascii="Cambria Math" w:hAnsi="Cambria Math"/>
                  </w:rPr>
                  <m:t xml:space="preserve">c</m:t>
                </m:r>
              </m:sub>
            </m:sSub>
            <m:r>
              <w:rPr>
                <w:rFonts w:ascii="Cambria Math" w:hAnsi="Cambria Math"/>
              </w:rPr>
              <m:t xml:space="preserve">−</m:t>
            </m:r>
            <m:sSub>
              <m:e>
                <m:r>
                  <w:rPr>
                    <w:rFonts w:ascii="Cambria Math" w:hAnsi="Cambria Math"/>
                  </w:rPr>
                  <m:t xml:space="preserve">I</m:t>
                </m:r>
              </m:e>
              <m:sub/>
            </m:sSub>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709" w:hanging="0"/>
        <w:contextualSpacing/>
        <w:jc w:val="both"/>
        <w:rPr>
          <w:rFonts w:ascii="Times New Roman" w:hAnsi="Times New Roman"/>
          <w:sz w:val="28"/>
          <w:szCs w:val="28"/>
        </w:rPr>
      </w:pPr>
      <w:r>
        <w:rPr>
          <w:rFonts w:ascii="Times New Roman" w:hAnsi="Times New Roman"/>
          <w:sz w:val="28"/>
          <w:szCs w:val="28"/>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1.2</w:t>
      </w:r>
      <w:r>
        <w:rPr>
          <w:rFonts w:ascii="Times New Roman" w:hAnsi="Times New Roman"/>
          <w:sz w:val="28"/>
          <w:szCs w:val="28"/>
        </w:rPr>
        <w:t xml:space="preserve"> – отношение общего объема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безвозмездных поступлений,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D</w:t>
      </w:r>
      <w:r>
        <w:rPr>
          <w:rFonts w:ascii="Times New Roman" w:hAnsi="Times New Roman"/>
          <w:sz w:val="28"/>
          <w:szCs w:val="28"/>
          <w:vertAlign w:val="subscript"/>
          <w:lang w:val="en-US"/>
        </w:rPr>
        <w:t>bc</w:t>
      </w:r>
      <w:r>
        <w:rPr>
          <w:rFonts w:ascii="Times New Roman" w:hAnsi="Times New Roman"/>
          <w:sz w:val="28"/>
          <w:szCs w:val="28"/>
        </w:rPr>
        <w:t xml:space="preserve"> – общий объем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на отчетную дату,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vertAlign w:val="subscript"/>
        </w:rPr>
        <w:t>с</w:t>
      </w:r>
      <w:r>
        <w:rPr>
          <w:rFonts w:ascii="Times New Roman" w:hAnsi="Times New Roman"/>
          <w:sz w:val="28"/>
          <w:szCs w:val="28"/>
        </w:rPr>
        <w:t xml:space="preserve"> – сумма доходов областного бюджета в соответствующем финансовом году,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vertAlign w:val="subscript"/>
          <w:lang w:val="en-US"/>
        </w:rPr>
        <w:t>in</w:t>
      </w:r>
      <w:r>
        <w:rPr>
          <w:rFonts w:ascii="Times New Roman" w:hAnsi="Times New Roman"/>
          <w:sz w:val="28"/>
          <w:szCs w:val="28"/>
        </w:rPr>
        <w:t xml:space="preserve"> – объем безвозмездных поступлений в соответствующем финансовом году, рублей.</w:t>
      </w:r>
    </w:p>
    <w:p>
      <w:pPr>
        <w:pStyle w:val="Normal"/>
        <w:widowControl w:val="false"/>
        <w:suppressAutoHyphens w:val="true"/>
        <w:spacing w:lineRule="auto" w:line="240" w:before="220" w:after="0"/>
        <w:ind w:firstLine="540"/>
        <w:contextualSpacing/>
        <w:jc w:val="both"/>
        <w:rPr>
          <w:rFonts w:ascii="Times New Roman" w:hAnsi="Times New Roman"/>
          <w:sz w:val="28"/>
          <w:szCs w:val="28"/>
        </w:rPr>
      </w:pPr>
      <w:r>
        <w:rPr>
          <w:rFonts w:ascii="Times New Roman" w:hAnsi="Times New Roman"/>
          <w:sz w:val="28"/>
          <w:szCs w:val="28"/>
        </w:rPr>
        <w:t>По итогам финансового года значение показателя определяется как отношение фактического объема задолженности Брянской области по государственным ценным бумагам Брянской области и кредитам, полученным от кредитных организаций, к фактическому общему объему доходов областного бюджета без учета безвозмездных поступлений.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об общем объеме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ежемесячно размещается в составе выписки из государственной долговой книги Брянской области на официальном сайте Департамента финансов Брянской области (</w:t>
      </w:r>
      <w:r>
        <w:rPr>
          <w:rFonts w:ascii="Times New Roman" w:hAnsi="Times New Roman"/>
          <w:sz w:val="28"/>
          <w:szCs w:val="28"/>
          <w:lang w:val="en-US"/>
        </w:rPr>
        <w:t>bryanskoblfin</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(bryanskoblfin.ru), Едином портале бюджетной системы Российской Федерации (</w:t>
      </w:r>
      <w:r>
        <w:rPr>
          <w:rFonts w:ascii="Times New Roman" w:hAnsi="Times New Roman"/>
          <w:sz w:val="28"/>
          <w:szCs w:val="28"/>
          <w:lang w:val="en-US"/>
        </w:rPr>
        <w:t>budget</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или на официальном сайте Федерального казначейства (roskazna.gov.ru).</w:t>
      </w:r>
    </w:p>
    <w:p>
      <w:pPr>
        <w:pStyle w:val="Normal"/>
        <w:widowControl w:val="false"/>
        <w:numPr>
          <w:ilvl w:val="1"/>
          <w:numId w:val="2"/>
        </w:numPr>
        <w:suppressAutoHyphens w:val="true"/>
        <w:spacing w:lineRule="auto" w:line="264" w:before="0" w:after="0"/>
        <w:ind w:left="0" w:firstLine="709"/>
        <w:contextualSpacing/>
        <w:jc w:val="both"/>
        <w:rPr>
          <w:rFonts w:ascii="Times New Roman" w:hAnsi="Times New Roman"/>
          <w:sz w:val="28"/>
          <w:szCs w:val="28"/>
        </w:rPr>
      </w:pPr>
      <w:r>
        <w:rPr>
          <w:rFonts w:ascii="Times New Roman" w:hAnsi="Times New Roman"/>
          <w:sz w:val="28"/>
          <w:szCs w:val="28"/>
        </w:rPr>
        <w:t>Темп роста налоговых и неналоговых доходов консолидированного бюджета Брянской области к предыдущему году определяется следующим образом:</w:t>
      </w:r>
    </w:p>
    <w:p>
      <w:pPr>
        <w:pStyle w:val="ListParagraph"/>
        <w:widowControl w:val="false"/>
        <w:suppressAutoHyphens w:val="true"/>
        <w:spacing w:lineRule="auto" w:line="264" w:before="0" w:after="0"/>
        <w:ind w:left="450" w:hanging="0"/>
        <w:contextualSpacing/>
        <w:jc w:val="center"/>
        <w:rPr>
          <w:rFonts w:ascii="Times New Roman" w:hAnsi="Times New Roman"/>
          <w:i/>
          <w:i/>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1.3</m:t>
            </m:r>
          </m:sub>
        </m:sSub>
        <m:r>
          <w:rPr>
            <w:rFonts w:ascii="Cambria Math" w:hAnsi="Cambria Math"/>
          </w:rPr>
          <m:t xml:space="preserve">=</m:t>
        </m:r>
        <m:f>
          <m:num>
            <m:sSup>
              <m:e/>
              <m:sup>
                <m:r>
                  <w:rPr>
                    <w:rFonts w:ascii="Cambria Math" w:hAnsi="Cambria Math"/>
                  </w:rPr>
                  <m:t xml:space="preserve">n</m:t>
                </m:r>
              </m:sup>
            </m:sSup>
          </m:num>
          <m:den>
            <m:sSup>
              <m:e/>
              <m:sup>
                <m:r>
                  <w:rPr>
                    <w:rFonts w:ascii="Cambria Math" w:hAnsi="Cambria Math"/>
                  </w:rPr>
                  <m:t xml:space="preserve">n</m:t>
                </m:r>
                <m:r>
                  <w:rPr>
                    <w:rFonts w:ascii="Cambria Math" w:hAnsi="Cambria Math"/>
                  </w:rPr>
                  <m:t xml:space="preserve">−</m:t>
                </m:r>
                <m:r>
                  <w:rPr>
                    <w:rFonts w:ascii="Cambria Math" w:hAnsi="Cambria Math"/>
                  </w:rPr>
                  <m:t xml:space="preserve">1</m:t>
                </m:r>
              </m:sup>
            </m:sSup>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contextualSpacing/>
        <w:jc w:val="center"/>
        <w:rPr>
          <w:rFonts w:ascii="Times New Roman" w:hAnsi="Times New Roman"/>
          <w:i/>
          <w:i/>
          <w:iCs/>
          <w:sz w:val="28"/>
          <w:szCs w:val="28"/>
        </w:rPr>
      </w:pPr>
      <w:r>
        <w:rPr>
          <w:rFonts w:ascii="Times New Roman" w:hAnsi="Times New Roman"/>
          <w:i/>
          <w:iCs/>
          <w:sz w:val="28"/>
          <w:szCs w:val="28"/>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1.3</w:t>
      </w:r>
      <w:r>
        <w:rPr>
          <w:rFonts w:ascii="Times New Roman" w:hAnsi="Times New Roman"/>
          <w:sz w:val="28"/>
          <w:szCs w:val="28"/>
        </w:rPr>
        <w:t xml:space="preserve"> – темп роста налоговых и неналоговых доходов консолидированного бюджета Брянской области к предыдущему году,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IN</w:t>
      </w:r>
      <w:r>
        <w:rPr>
          <w:rFonts w:ascii="Times New Roman" w:hAnsi="Times New Roman"/>
          <w:sz w:val="28"/>
          <w:szCs w:val="28"/>
          <w:vertAlign w:val="superscript"/>
          <w:lang w:val="en-US"/>
        </w:rPr>
        <w:t>n</w:t>
      </w:r>
      <w:r>
        <w:rPr>
          <w:rFonts w:ascii="Times New Roman" w:hAnsi="Times New Roman"/>
          <w:sz w:val="28"/>
          <w:szCs w:val="28"/>
        </w:rPr>
        <w:t xml:space="preserve"> – объем налоговых и неналоговых доходов консолидированного бюджета Брянской области отчетного года,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IN</w:t>
      </w:r>
      <w:r>
        <w:rPr>
          <w:rFonts w:ascii="Times New Roman" w:hAnsi="Times New Roman"/>
          <w:sz w:val="28"/>
          <w:szCs w:val="28"/>
          <w:vertAlign w:val="superscript"/>
          <w:lang w:val="en-US"/>
        </w:rPr>
        <w:t>n</w:t>
      </w:r>
      <w:r>
        <w:rPr>
          <w:rFonts w:ascii="Times New Roman" w:hAnsi="Times New Roman"/>
          <w:sz w:val="28"/>
          <w:szCs w:val="28"/>
          <w:vertAlign w:val="superscript"/>
        </w:rPr>
        <w:t>-1</w:t>
      </w:r>
      <w:r>
        <w:rPr>
          <w:rFonts w:ascii="Times New Roman" w:hAnsi="Times New Roman"/>
          <w:sz w:val="28"/>
          <w:szCs w:val="28"/>
        </w:rPr>
        <w:t xml:space="preserve"> – объем налоговых и неналоговых доходов консолидированного бюджета Брянской области года, предшествующего отчетному,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Объем налоговых и неналоговых доходов содержится в составе отчета об исполнении консолидированного бюджета Брянской области (размещается в составе отчета об исполнении консолидированного бюджета на официальном сайте Департамента финансов Брянской области (bryanskoblfin.ru), Едином портале бюджетной системы Российской Федерации (</w:t>
      </w:r>
      <w:r>
        <w:rPr>
          <w:rFonts w:ascii="Times New Roman" w:hAnsi="Times New Roman"/>
          <w:sz w:val="28"/>
          <w:szCs w:val="28"/>
          <w:lang w:val="en-US"/>
        </w:rPr>
        <w:t>budget</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или на официальном сайте Федерального казначейства (roskazna.gov.ru)).</w:t>
      </w:r>
    </w:p>
    <w:p>
      <w:pPr>
        <w:pStyle w:val="Normal"/>
        <w:widowControl w:val="false"/>
        <w:numPr>
          <w:ilvl w:val="1"/>
          <w:numId w:val="2"/>
        </w:numPr>
        <w:suppressAutoHyphens w:val="true"/>
        <w:spacing w:lineRule="auto" w:line="264" w:before="0" w:after="0"/>
        <w:ind w:left="0" w:firstLine="709"/>
        <w:contextualSpacing/>
        <w:jc w:val="both"/>
        <w:rPr>
          <w:rFonts w:ascii="Times New Roman" w:hAnsi="Times New Roman"/>
          <w:sz w:val="28"/>
          <w:szCs w:val="28"/>
        </w:rPr>
      </w:pPr>
      <w:r>
        <w:rPr>
          <w:rFonts w:ascii="Times New Roman" w:hAnsi="Times New Roman"/>
          <w:sz w:val="28"/>
          <w:szCs w:val="28"/>
        </w:rPr>
        <w:t>Доля просроченной кредиторской задолженности областного бюджета и местных бюджетов в расходах консолидированного бюджета Брянской области определяется следующим образом:</w:t>
      </w:r>
    </w:p>
    <w:p>
      <w:pPr>
        <w:pStyle w:val="Normal"/>
        <w:widowControl w:val="false"/>
        <w:suppressAutoHyphens w:val="true"/>
        <w:spacing w:lineRule="auto" w:line="264" w:before="0" w:after="0"/>
        <w:ind w:left="709" w:hanging="0"/>
        <w:contextualSpacing/>
        <w:jc w:val="both"/>
        <w:rPr>
          <w:rFonts w:ascii="Times New Roman" w:hAnsi="Times New Roman"/>
          <w:sz w:val="14"/>
          <w:szCs w:val="14"/>
        </w:rPr>
      </w:pPr>
      <w:r>
        <w:rPr>
          <w:rFonts w:ascii="Times New Roman" w:hAnsi="Times New Roman"/>
          <w:sz w:val="14"/>
          <w:szCs w:val="14"/>
        </w:rPr>
      </w:r>
    </w:p>
    <w:p>
      <w:pPr>
        <w:pStyle w:val="Normal"/>
        <w:widowControl w:val="false"/>
        <w:suppressAutoHyphens w:val="true"/>
        <w:spacing w:lineRule="auto" w:line="264" w:before="0" w:after="0"/>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1.4</m:t>
            </m:r>
          </m:sub>
        </m:sSub>
        <m:r>
          <w:rPr>
            <w:rFonts w:ascii="Cambria Math" w:hAnsi="Cambria Math"/>
          </w:rPr>
          <m:t xml:space="preserve">=</m:t>
        </m:r>
        <m:f>
          <m:num>
            <m:sSub>
              <m:e>
                <m:r>
                  <w:rPr>
                    <w:rFonts w:ascii="Cambria Math" w:hAnsi="Cambria Math"/>
                  </w:rPr>
                  <m:t xml:space="preserve">V</m:t>
                </m:r>
              </m:e>
              <m:sub>
                <m:r>
                  <w:rPr>
                    <w:rFonts w:ascii="Cambria Math" w:hAnsi="Cambria Math"/>
                  </w:rPr>
                  <m:t xml:space="preserve">k</m:t>
                </m:r>
              </m:sub>
            </m:sSub>
          </m:num>
          <m:den>
            <m:sSub>
              <m:e>
                <m:r>
                  <w:rPr>
                    <w:rFonts w:ascii="Cambria Math" w:hAnsi="Cambria Math"/>
                  </w:rPr>
                  <m:t xml:space="preserve">V</m:t>
                </m:r>
              </m:e>
              <m:sub>
                <m:r>
                  <w:rPr>
                    <w:rFonts w:ascii="Cambria Math" w:hAnsi="Cambria Math"/>
                  </w:rPr>
                  <m:t xml:space="preserve">r</m:t>
                </m:r>
              </m:sub>
            </m:sSub>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jc w:val="center"/>
        <w:rPr>
          <w:rFonts w:ascii="Times New Roman" w:hAnsi="Times New Roman"/>
          <w:i/>
          <w:i/>
          <w:sz w:val="14"/>
          <w:szCs w:val="14"/>
        </w:rPr>
      </w:pPr>
      <w:r>
        <w:rPr>
          <w:rFonts w:ascii="Times New Roman" w:hAnsi="Times New Roman"/>
          <w:i/>
          <w:sz w:val="14"/>
          <w:szCs w:val="14"/>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1.4</w:t>
      </w:r>
      <w:r>
        <w:rPr>
          <w:rFonts w:ascii="Times New Roman" w:hAnsi="Times New Roman"/>
          <w:sz w:val="28"/>
          <w:szCs w:val="28"/>
        </w:rPr>
        <w:t xml:space="preserve"> – доля просроченной кредиторской задолженности областного бюджета и местных бюджетов в расходах консолидированного бюджета Брянской области,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V</w:t>
      </w:r>
      <w:r>
        <w:rPr>
          <w:rFonts w:ascii="Times New Roman" w:hAnsi="Times New Roman"/>
          <w:sz w:val="28"/>
          <w:szCs w:val="28"/>
          <w:vertAlign w:val="subscript"/>
        </w:rPr>
        <w:t>k</w:t>
      </w:r>
      <w:r>
        <w:rPr>
          <w:rFonts w:ascii="Times New Roman" w:hAnsi="Times New Roman"/>
          <w:sz w:val="28"/>
          <w:szCs w:val="28"/>
        </w:rPr>
        <w:t xml:space="preserve"> – объем просроченной кредиторской задолженности консолидированного Брянской области по состоянию на 1 января года, следующего за отчетным,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V</w:t>
      </w:r>
      <w:r>
        <w:rPr>
          <w:rFonts w:ascii="Times New Roman" w:hAnsi="Times New Roman"/>
          <w:sz w:val="28"/>
          <w:szCs w:val="28"/>
          <w:vertAlign w:val="subscript"/>
          <w:lang w:val="en-US"/>
        </w:rPr>
        <w:t>r</w:t>
      </w:r>
      <w:r>
        <w:rPr>
          <w:rFonts w:ascii="Times New Roman" w:hAnsi="Times New Roman"/>
          <w:sz w:val="28"/>
          <w:szCs w:val="28"/>
        </w:rPr>
        <w:t xml:space="preserve"> – исполнение консолидированного бюджета Брянской области по расходам за отчетный период,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 просроченной кредиторской задолженности консолидированного бюджета Брянской области, объеме расходов консолидированного бюджета размещается в составе отчета об исполнении консолидированного бюджета субъекта Российской Федерации на официальном сайте Департамента финансов Брянской области (bryanskoblfin.ru).</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r>
    </w:p>
    <w:p>
      <w:pPr>
        <w:pStyle w:val="Normal"/>
        <w:keepNext w:val="true"/>
        <w:suppressAutoHyphens w:val="true"/>
        <w:spacing w:lineRule="auto" w:line="240" w:before="0" w:afterAutospacing="1"/>
        <w:jc w:val="center"/>
        <w:rPr>
          <w:rFonts w:ascii="Times New Roman" w:hAnsi="Times New Roman"/>
          <w:sz w:val="28"/>
          <w:szCs w:val="28"/>
          <w:lang w:eastAsia="en-US"/>
        </w:rPr>
      </w:pPr>
      <w:r>
        <w:rPr>
          <w:rFonts w:ascii="Times New Roman" w:hAnsi="Times New Roman"/>
          <w:sz w:val="28"/>
          <w:szCs w:val="28"/>
          <w:lang w:eastAsia="en-US"/>
        </w:rPr>
        <w:t>Показатели (индикаторы) основных мероприятий (проектов)</w:t>
      </w:r>
    </w:p>
    <w:p>
      <w:pPr>
        <w:pStyle w:val="Normal"/>
        <w:suppressAutoHyphens w:val="true"/>
        <w:spacing w:lineRule="auto" w:line="240" w:before="0" w:after="0"/>
        <w:jc w:val="center"/>
        <w:rPr>
          <w:rFonts w:ascii="Times New Roman" w:hAnsi="Times New Roman"/>
          <w:sz w:val="28"/>
          <w:szCs w:val="28"/>
          <w:lang w:eastAsia="en-US"/>
        </w:rPr>
      </w:pPr>
      <w:r>
        <w:rPr>
          <w:rFonts w:ascii="Times New Roman" w:hAnsi="Times New Roman"/>
          <w:sz w:val="28"/>
          <w:szCs w:val="28"/>
          <w:lang w:eastAsia="en-US"/>
        </w:rPr>
        <w:t>2. Обеспечение долгосрочной устойчивости областного бюджета и повышение эффективности управления общественными финансами</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r>
    </w:p>
    <w:p>
      <w:pPr>
        <w:pStyle w:val="Normal"/>
        <w:widowControl w:val="false"/>
        <w:numPr>
          <w:ilvl w:val="1"/>
          <w:numId w:val="3"/>
        </w:numPr>
        <w:suppressAutoHyphens w:val="true"/>
        <w:spacing w:lineRule="auto" w:line="264" w:before="0" w:after="0"/>
        <w:ind w:left="0" w:firstLine="709"/>
        <w:contextualSpacing/>
        <w:jc w:val="both"/>
        <w:rPr>
          <w:rFonts w:ascii="Times New Roman" w:hAnsi="Times New Roman"/>
          <w:sz w:val="28"/>
          <w:szCs w:val="28"/>
        </w:rPr>
      </w:pPr>
      <w:r>
        <w:rPr>
          <w:rFonts w:ascii="Times New Roman" w:hAnsi="Times New Roman"/>
          <w:sz w:val="28"/>
          <w:szCs w:val="28"/>
        </w:rPr>
        <w:t>Превышение ставки по привлеченным кредитам от кредитных организаций в бюджет Брянской области над ключевой ставкой, установленной Центральным Банком Российской Федерации, определяется следующим образом:</w:t>
      </w:r>
    </w:p>
    <w:p>
      <w:pPr>
        <w:pStyle w:val="Normal"/>
        <w:widowControl w:val="false"/>
        <w:suppressAutoHyphens w:val="true"/>
        <w:spacing w:lineRule="auto" w:line="264" w:before="0" w:after="0"/>
        <w:ind w:left="709" w:hanging="0"/>
        <w:contextualSpacing/>
        <w:jc w:val="both"/>
        <w:rPr>
          <w:rFonts w:ascii="Times New Roman" w:hAnsi="Times New Roman"/>
          <w:sz w:val="14"/>
          <w:szCs w:val="14"/>
        </w:rPr>
      </w:pPr>
      <w:r>
        <w:rPr>
          <w:rFonts w:ascii="Times New Roman" w:hAnsi="Times New Roman"/>
          <w:sz w:val="14"/>
          <w:szCs w:val="14"/>
        </w:rPr>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2.1</m:t>
            </m:r>
          </m:sub>
        </m:sSub>
        <m:r>
          <w:rPr>
            <w:rFonts w:ascii="Cambria Math" w:hAnsi="Cambria Math"/>
          </w:rPr>
          <m:t xml:space="preserve">=</m:t>
        </m:r>
        <m:f>
          <m:num>
            <m:nary>
              <m:naryPr>
                <m:chr m:val="∑"/>
              </m:naryPr>
              <m:sub>
                <m:r>
                  <w:rPr>
                    <w:rFonts w:ascii="Cambria Math" w:hAnsi="Cambria Math"/>
                  </w:rPr>
                  <m:t xml:space="preserve">i</m:t>
                </m:r>
                <m:r>
                  <w:rPr>
                    <w:rFonts w:ascii="Cambria Math" w:hAnsi="Cambria Math"/>
                  </w:rPr>
                  <m:t xml:space="preserve">=</m:t>
                </m:r>
                <m:r>
                  <w:rPr>
                    <w:rFonts w:ascii="Cambria Math" w:hAnsi="Cambria Math"/>
                  </w:rPr>
                  <m:t xml:space="preserve">1</m:t>
                </m:r>
              </m:sub>
              <m:sup>
                <m:r>
                  <w:rPr>
                    <w:rFonts w:ascii="Cambria Math" w:hAnsi="Cambria Math"/>
                  </w:rPr>
                  <m:t xml:space="preserve">n</m:t>
                </m:r>
              </m:sup>
              <m:e>
                <m:d>
                  <m:dPr>
                    <m:begChr m:val="("/>
                    <m:endChr m:val=")"/>
                  </m:dPr>
                  <m:e>
                    <m:sSub>
                      <m:e>
                        <m:r>
                          <w:rPr>
                            <w:rFonts w:ascii="Cambria Math" w:hAnsi="Cambria Math"/>
                          </w:rPr>
                          <m:t xml:space="preserve">I</m:t>
                        </m:r>
                      </m:e>
                      <m:sub>
                        <m:r>
                          <w:rPr>
                            <w:rFonts w:ascii="Cambria Math" w:hAnsi="Cambria Math"/>
                          </w:rPr>
                          <m:t xml:space="preserve">i</m:t>
                        </m:r>
                      </m:sub>
                    </m:sSub>
                  </m:e>
                  <m:e/>
                  <m:e>
                    <m:r>
                      <w:rPr>
                        <w:rFonts w:ascii="Cambria Math" w:hAnsi="Cambria Math"/>
                      </w:rPr>
                      <m:t xml:space="preserve">−</m:t>
                    </m:r>
                    <m:sSub>
                      <m:e>
                        <m:r>
                          <w:rPr>
                            <w:rFonts w:ascii="Cambria Math" w:hAnsi="Cambria Math"/>
                          </w:rPr>
                          <m:t xml:space="preserve">I</m:t>
                        </m:r>
                      </m:e>
                      <m:sub>
                        <m:r>
                          <w:rPr>
                            <w:rFonts w:ascii="Cambria Math" w:hAnsi="Cambria Math"/>
                          </w:rPr>
                          <m:t xml:space="preserve">ir</m:t>
                        </m:r>
                      </m:sub>
                    </m:sSub>
                  </m:e>
                </m:d>
              </m:e>
            </m:nary>
          </m:num>
          <m:den>
            <m:r>
              <w:rPr>
                <w:rFonts w:ascii="Cambria Math" w:hAnsi="Cambria Math"/>
              </w:rPr>
              <m:t xml:space="preserve">n</m:t>
            </m:r>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709" w:hanging="0"/>
        <w:contextualSpacing/>
        <w:jc w:val="both"/>
        <w:rPr>
          <w:rFonts w:ascii="Times New Roman" w:hAnsi="Times New Roman"/>
          <w:sz w:val="14"/>
          <w:szCs w:val="14"/>
        </w:rPr>
      </w:pPr>
      <w:r>
        <w:rPr>
          <w:rFonts w:ascii="Times New Roman" w:hAnsi="Times New Roman"/>
          <w:sz w:val="14"/>
          <w:szCs w:val="14"/>
        </w:rPr>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2.1</w:t>
      </w:r>
      <w:r>
        <w:rPr>
          <w:rFonts w:ascii="Times New Roman" w:hAnsi="Times New Roman"/>
          <w:sz w:val="28"/>
          <w:szCs w:val="28"/>
        </w:rPr>
        <w:t xml:space="preserve"> – превышение ставки по привлеченным кредитам от кредитных организаций в бюджет Брянской области над ключевой ставкой, установленной Центральным Банком Российской Федерации,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I</w:t>
      </w:r>
      <w:r>
        <w:rPr>
          <w:rFonts w:ascii="Times New Roman" w:hAnsi="Times New Roman"/>
          <w:sz w:val="28"/>
          <w:szCs w:val="28"/>
          <w:vertAlign w:val="subscript"/>
        </w:rPr>
        <w:t>i</w:t>
      </w:r>
      <w:r>
        <w:rPr>
          <w:rFonts w:ascii="Times New Roman" w:hAnsi="Times New Roman"/>
          <w:sz w:val="28"/>
          <w:szCs w:val="28"/>
        </w:rPr>
        <w:t xml:space="preserve"> – ставка по привлеченному i-му кредиту кредитной организации,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I</w:t>
      </w:r>
      <w:r>
        <w:rPr>
          <w:rFonts w:ascii="Times New Roman" w:hAnsi="Times New Roman"/>
          <w:sz w:val="28"/>
          <w:szCs w:val="28"/>
          <w:vertAlign w:val="subscript"/>
        </w:rPr>
        <w:t>ir</w:t>
      </w:r>
      <w:r>
        <w:rPr>
          <w:rFonts w:ascii="Times New Roman" w:hAnsi="Times New Roman"/>
          <w:sz w:val="28"/>
          <w:szCs w:val="28"/>
        </w:rPr>
        <w:t xml:space="preserve"> – ключевая ставка, действовавшая на момент привлечения i-го кредита кредитной организации,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n – количество привлеченных за отчетный период кредитов кредитных организаций,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 привлеченных Брянской областью кредитных ресурсах ежеквартально размещается на официальном сайте Департамента финансов Брянской области (bryanskoblfin.ru) в составе выписок из государственной долговой книги Брянской области.</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 действовавшей в ретроспективном периоде ключевой ставке размещается на официальном сайте Банка России (</w:t>
      </w:r>
      <w:hyperlink r:id="rId2">
        <w:r>
          <w:rPr>
            <w:rFonts w:ascii="Times New Roman" w:hAnsi="Times New Roman"/>
            <w:sz w:val="28"/>
            <w:szCs w:val="28"/>
          </w:rPr>
          <w:t>cbr.ru</w:t>
        </w:r>
      </w:hyperlink>
      <w:r>
        <w:rPr>
          <w:rFonts w:ascii="Times New Roman" w:hAnsi="Times New Roman"/>
          <w:sz w:val="28"/>
          <w:szCs w:val="28"/>
        </w:rPr>
        <w:t>).</w:t>
      </w:r>
    </w:p>
    <w:p>
      <w:pPr>
        <w:pStyle w:val="Normal"/>
        <w:widowControl w:val="false"/>
        <w:numPr>
          <w:ilvl w:val="1"/>
          <w:numId w:val="3"/>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Исполнение областного бюджета по доходам без учета безвозмездных поступлений к первоначально утвержденному уровню определяется следующим образом:</w:t>
      </w:r>
    </w:p>
    <w:p>
      <w:pPr>
        <w:pStyle w:val="Normal"/>
        <w:widowControl w:val="false"/>
        <w:suppressAutoHyphens w:val="true"/>
        <w:spacing w:lineRule="auto" w:line="264" w:before="0" w:after="0"/>
        <w:ind w:left="710" w:hanging="0"/>
        <w:jc w:val="both"/>
        <w:rPr>
          <w:rFonts w:ascii="Times New Roman" w:hAnsi="Times New Roman"/>
          <w:sz w:val="28"/>
          <w:szCs w:val="28"/>
        </w:rPr>
      </w:pPr>
      <w:r>
        <w:rPr>
          <w:rFonts w:ascii="Times New Roman" w:hAnsi="Times New Roman"/>
          <w:sz w:val="28"/>
          <w:szCs w:val="28"/>
        </w:rPr>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2.2</m:t>
            </m:r>
          </m:sub>
        </m:sSub>
        <m:r>
          <w:rPr>
            <w:rFonts w:ascii="Cambria Math" w:hAnsi="Cambria Math"/>
          </w:rPr>
          <m:t xml:space="preserve">=</m:t>
        </m:r>
        <m:f>
          <m:num>
            <m:d>
              <m:dPr>
                <m:begChr m:val="|"/>
                <m:endChr m:val="|"/>
              </m:dPr>
              <m:e>
                <m:d>
                  <m:dPr>
                    <m:begChr m:val="("/>
                    <m:endChr m:val=")"/>
                  </m:dPr>
                  <m:e>
                    <m:sSubSup>
                      <m:e>
                        <m:r>
                          <w:rPr>
                            <w:rFonts w:ascii="Cambria Math" w:hAnsi="Cambria Math"/>
                          </w:rPr>
                          <m:t xml:space="preserve">I</m:t>
                        </m:r>
                      </m:e>
                      <m:sub>
                        <m:r>
                          <w:rPr>
                            <w:rFonts w:ascii="Cambria Math" w:hAnsi="Cambria Math"/>
                          </w:rPr>
                          <m:t xml:space="preserve">c</m:t>
                        </m:r>
                      </m:sub>
                      <m:sup>
                        <m:r>
                          <w:rPr>
                            <w:rFonts w:ascii="Cambria Math" w:hAnsi="Cambria Math"/>
                          </w:rPr>
                          <m:t xml:space="preserve">f</m:t>
                        </m:r>
                      </m:sup>
                    </m:sSubSup>
                    <m:r>
                      <w:rPr>
                        <w:rFonts w:ascii="Cambria Math" w:hAnsi="Cambria Math"/>
                      </w:rPr>
                      <m:t xml:space="preserve">−</m:t>
                    </m:r>
                    <m:sSubSup>
                      <m:e>
                        <m:r>
                          <w:rPr>
                            <w:rFonts w:ascii="Cambria Math" w:hAnsi="Cambria Math"/>
                          </w:rPr>
                          <m:t xml:space="preserve">I</m:t>
                        </m:r>
                      </m:e>
                      <m:sub/>
                      <m:sup>
                        <m:r>
                          <w:rPr>
                            <w:rFonts w:ascii="Cambria Math" w:hAnsi="Cambria Math"/>
                          </w:rPr>
                          <m:t xml:space="preserve">f</m:t>
                        </m:r>
                      </m:sup>
                    </m:sSubSup>
                  </m:e>
                </m:d>
                <m:r>
                  <w:rPr>
                    <w:rFonts w:ascii="Cambria Math" w:hAnsi="Cambria Math"/>
                  </w:rPr>
                  <m:t xml:space="preserve">−</m:t>
                </m:r>
                <m:d>
                  <m:dPr>
                    <m:begChr m:val="("/>
                    <m:endChr m:val=")"/>
                  </m:dPr>
                  <m:e>
                    <m:sSubSup>
                      <m:e>
                        <m:r>
                          <w:rPr>
                            <w:rFonts w:ascii="Cambria Math" w:hAnsi="Cambria Math"/>
                          </w:rPr>
                          <m:t xml:space="preserve">I</m:t>
                        </m:r>
                      </m:e>
                      <m:sub>
                        <m:r>
                          <w:rPr>
                            <w:rFonts w:ascii="Cambria Math" w:hAnsi="Cambria Math"/>
                          </w:rPr>
                          <m:t xml:space="preserve">c</m:t>
                        </m:r>
                      </m:sub>
                      <m:sup>
                        <m:r>
                          <w:rPr>
                            <w:rFonts w:ascii="Cambria Math" w:hAnsi="Cambria Math"/>
                          </w:rPr>
                          <m:t xml:space="preserve">s</m:t>
                        </m:r>
                      </m:sup>
                    </m:sSubSup>
                    <m:r>
                      <w:rPr>
                        <w:rFonts w:ascii="Cambria Math" w:hAnsi="Cambria Math"/>
                      </w:rPr>
                      <m:t xml:space="preserve">−</m:t>
                    </m:r>
                    <m:sSubSup>
                      <m:e>
                        <m:r>
                          <w:rPr>
                            <w:rFonts w:ascii="Cambria Math" w:hAnsi="Cambria Math"/>
                          </w:rPr>
                          <m:t xml:space="preserve">I</m:t>
                        </m:r>
                      </m:e>
                      <m:sub/>
                      <m:sup>
                        <m:r>
                          <w:rPr>
                            <w:rFonts w:ascii="Cambria Math" w:hAnsi="Cambria Math"/>
                          </w:rPr>
                          <m:t xml:space="preserve">s</m:t>
                        </m:r>
                      </m:sup>
                    </m:sSubSup>
                  </m:e>
                </m:d>
              </m:e>
            </m:d>
          </m:num>
          <m:den>
            <m:sSubSup>
              <m:e>
                <m:r>
                  <w:rPr>
                    <w:rFonts w:ascii="Cambria Math" w:hAnsi="Cambria Math"/>
                  </w:rPr>
                  <m:t xml:space="preserve">I</m:t>
                </m:r>
              </m:e>
              <m:sub>
                <m:r>
                  <w:rPr>
                    <w:rFonts w:ascii="Cambria Math" w:hAnsi="Cambria Math"/>
                  </w:rPr>
                  <m:t xml:space="preserve">c</m:t>
                </m:r>
              </m:sub>
              <m:sup>
                <m:r>
                  <w:rPr>
                    <w:rFonts w:ascii="Cambria Math" w:hAnsi="Cambria Math"/>
                  </w:rPr>
                  <m:t xml:space="preserve">s</m:t>
                </m:r>
              </m:sup>
            </m:sSubSup>
            <m:r>
              <w:rPr>
                <w:rFonts w:ascii="Cambria Math" w:hAnsi="Cambria Math"/>
              </w:rPr>
              <m:t xml:space="preserve">−</m:t>
            </m:r>
            <m:sSubSup>
              <m:e>
                <m:r>
                  <w:rPr>
                    <w:rFonts w:ascii="Cambria Math" w:hAnsi="Cambria Math"/>
                  </w:rPr>
                  <m:t xml:space="preserve">I</m:t>
                </m:r>
              </m:e>
              <m:sub/>
              <m:sup>
                <m:r>
                  <w:rPr>
                    <w:rFonts w:ascii="Cambria Math" w:hAnsi="Cambria Math"/>
                  </w:rPr>
                  <m:t xml:space="preserve">s</m:t>
                </m:r>
              </m:sup>
            </m:sSubSup>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710" w:hanging="0"/>
        <w:jc w:val="both"/>
        <w:rPr>
          <w:rFonts w:ascii="Times New Roman" w:hAnsi="Times New Roman"/>
          <w:sz w:val="28"/>
          <w:szCs w:val="28"/>
        </w:rPr>
      </w:pPr>
      <w:r>
        <w:rPr>
          <w:rFonts w:ascii="Times New Roman" w:hAnsi="Times New Roman"/>
          <w:sz w:val="28"/>
          <w:szCs w:val="28"/>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2.2</w:t>
      </w:r>
      <w:r>
        <w:rPr>
          <w:rFonts w:ascii="Times New Roman" w:hAnsi="Times New Roman"/>
          <w:sz w:val="28"/>
          <w:szCs w:val="28"/>
        </w:rPr>
        <w:t xml:space="preserve"> – исполнение областного бюджета по доходам без учета безвозмездных поступлений к первоначально утвержденному уровню,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
      <m:oMath xmlns:m="http://schemas.openxmlformats.org/officeDocument/2006/math">
        <m:sSubSup>
          <m:e>
            <m:r>
              <w:rPr>
                <w:rFonts w:ascii="Cambria Math" w:hAnsi="Cambria Math"/>
              </w:rPr>
              <m:t xml:space="preserve">I</m:t>
            </m:r>
          </m:e>
          <m:sub>
            <m:r>
              <w:rPr>
                <w:rFonts w:ascii="Cambria Math" w:hAnsi="Cambria Math"/>
              </w:rPr>
              <m:t xml:space="preserve">c</m:t>
            </m:r>
          </m:sub>
          <m:sup>
            <m:r>
              <w:rPr>
                <w:rFonts w:ascii="Cambria Math" w:hAnsi="Cambria Math"/>
              </w:rPr>
              <m:t xml:space="preserve">f</m:t>
            </m:r>
          </m:sup>
        </m:sSubSup>
      </m:oMath>
      <w:r>
        <w:rPr>
          <w:rFonts w:ascii="Times New Roman" w:hAnsi="Times New Roman"/>
          <w:sz w:val="28"/>
          <w:szCs w:val="28"/>
        </w:rPr>
        <w:t xml:space="preserve"> – </w:t>
      </w:r>
      <w:r>
        <w:rPr>
          <w:rFonts w:ascii="Times New Roman" w:hAnsi="Times New Roman"/>
          <w:sz w:val="28"/>
          <w:szCs w:val="28"/>
        </w:rPr>
        <w:t>исполнение областного бюджета до доходам в отчетном финансовом году,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
      <m:oMath xmlns:m="http://schemas.openxmlformats.org/officeDocument/2006/math">
        <m:sSubSup>
          <m:e>
            <m:r>
              <w:rPr>
                <w:rFonts w:ascii="Cambria Math" w:hAnsi="Cambria Math"/>
              </w:rPr>
              <m:t xml:space="preserve">I</m:t>
            </m:r>
          </m:e>
          <m:sub/>
          <m:sup>
            <m:r>
              <w:rPr>
                <w:rFonts w:ascii="Cambria Math" w:hAnsi="Cambria Math"/>
              </w:rPr>
              <m:t xml:space="preserve">f</m:t>
            </m:r>
          </m:sup>
        </m:sSubSup>
      </m:oMath>
      <w:r>
        <w:rPr>
          <w:rFonts w:ascii="Times New Roman" w:hAnsi="Times New Roman"/>
          <w:sz w:val="28"/>
          <w:szCs w:val="28"/>
        </w:rPr>
        <w:t xml:space="preserve"> – </w:t>
      </w:r>
      <w:r>
        <w:rPr>
          <w:rFonts w:ascii="Times New Roman" w:hAnsi="Times New Roman"/>
          <w:sz w:val="28"/>
          <w:szCs w:val="28"/>
        </w:rPr>
        <w:t>объем безвозмездных поступлений в областной бюджет в отчетном финансовом году,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
      <m:oMath xmlns:m="http://schemas.openxmlformats.org/officeDocument/2006/math">
        <m:sSubSup>
          <m:e>
            <m:r>
              <w:rPr>
                <w:rFonts w:ascii="Cambria Math" w:hAnsi="Cambria Math"/>
              </w:rPr>
              <m:t xml:space="preserve">I</m:t>
            </m:r>
          </m:e>
          <m:sub>
            <m:r>
              <w:rPr>
                <w:rFonts w:ascii="Cambria Math" w:hAnsi="Cambria Math"/>
              </w:rPr>
              <m:t xml:space="preserve">c</m:t>
            </m:r>
          </m:sub>
          <m:sup>
            <m:r>
              <w:rPr>
                <w:rFonts w:ascii="Cambria Math" w:hAnsi="Cambria Math"/>
              </w:rPr>
              <m:t xml:space="preserve">s</m:t>
            </m:r>
          </m:sup>
        </m:sSubSup>
      </m:oMath>
      <w:r>
        <w:rPr>
          <w:rFonts w:ascii="Times New Roman" w:hAnsi="Times New Roman"/>
          <w:sz w:val="28"/>
          <w:szCs w:val="28"/>
        </w:rPr>
        <w:t xml:space="preserve"> – </w:t>
      </w:r>
      <w:r>
        <w:rPr>
          <w:rFonts w:ascii="Times New Roman" w:hAnsi="Times New Roman"/>
          <w:sz w:val="28"/>
          <w:szCs w:val="28"/>
        </w:rPr>
        <w:t>объем доходов областного бюджета,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
      <m:oMath xmlns:m="http://schemas.openxmlformats.org/officeDocument/2006/math">
        <m:sSubSup>
          <m:e>
            <m:r>
              <w:rPr>
                <w:rFonts w:ascii="Cambria Math" w:hAnsi="Cambria Math"/>
              </w:rPr>
              <m:t xml:space="preserve">I</m:t>
            </m:r>
          </m:e>
          <m:sub/>
          <m:sup>
            <m:r>
              <w:rPr>
                <w:rFonts w:ascii="Cambria Math" w:hAnsi="Cambria Math"/>
              </w:rPr>
              <m:t xml:space="preserve">s</m:t>
            </m:r>
          </m:sup>
        </m:sSubSup>
      </m:oMath>
      <w:r>
        <w:rPr>
          <w:rFonts w:ascii="Times New Roman" w:hAnsi="Times New Roman"/>
          <w:sz w:val="28"/>
          <w:szCs w:val="28"/>
        </w:rPr>
        <w:t xml:space="preserve"> – </w:t>
      </w:r>
      <w:r>
        <w:rPr>
          <w:rFonts w:ascii="Times New Roman" w:hAnsi="Times New Roman"/>
          <w:sz w:val="28"/>
          <w:szCs w:val="28"/>
        </w:rPr>
        <w:t>объем безвозмездных поступлений в областной бюджет,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 рублей.</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(bryanskoblfin.ru), Едином портале бюджетной системы Российской Федерации (</w:t>
      </w:r>
      <w:r>
        <w:rPr>
          <w:rFonts w:ascii="Times New Roman" w:hAnsi="Times New Roman"/>
          <w:sz w:val="28"/>
          <w:szCs w:val="28"/>
          <w:lang w:val="en-US"/>
        </w:rPr>
        <w:t>budget</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или на официальном сайте Федерального казначейства (roskazna.gov.ru).</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Закон Брянской области об областном бюджете на соответствующий финансовый год и на плановый период в первоначальной редакции размещается на официальном сайте Департамента финансов Брянской области (bryanskoblfin.ru), Едином портале бюджетной системы Российской Федерации (</w:t>
      </w:r>
      <w:r>
        <w:rPr>
          <w:rFonts w:ascii="Times New Roman" w:hAnsi="Times New Roman"/>
          <w:sz w:val="28"/>
          <w:szCs w:val="28"/>
          <w:lang w:val="en-US"/>
        </w:rPr>
        <w:t>budget</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pPr>
        <w:pStyle w:val="Normal"/>
        <w:widowControl w:val="false"/>
        <w:numPr>
          <w:ilvl w:val="1"/>
          <w:numId w:val="3"/>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Отношение 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 определяется следующим образом:</w:t>
      </w:r>
    </w:p>
    <w:p>
      <w:pPr>
        <w:pStyle w:val="Normal"/>
        <w:widowControl w:val="false"/>
        <w:suppressAutoHyphens w:val="true"/>
        <w:spacing w:lineRule="auto" w:line="264" w:before="0" w:after="0"/>
        <w:ind w:left="709" w:hanging="0"/>
        <w:jc w:val="both"/>
        <w:rPr>
          <w:rFonts w:ascii="Times New Roman" w:hAnsi="Times New Roman"/>
          <w:sz w:val="14"/>
          <w:szCs w:val="14"/>
        </w:rPr>
      </w:pPr>
      <w:r>
        <w:rPr>
          <w:rFonts w:ascii="Times New Roman" w:hAnsi="Times New Roman"/>
          <w:sz w:val="14"/>
          <w:szCs w:val="14"/>
        </w:rPr>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2.3</m:t>
            </m:r>
          </m:sub>
        </m:sSub>
        <m:r>
          <w:rPr>
            <w:rFonts w:ascii="Cambria Math" w:hAnsi="Cambria Math"/>
          </w:rPr>
          <m:t xml:space="preserve">=</m:t>
        </m:r>
        <m:f>
          <m:num>
            <m:sSub>
              <m:e>
                <m:r>
                  <w:rPr>
                    <w:rFonts w:ascii="Cambria Math" w:hAnsi="Cambria Math"/>
                  </w:rPr>
                  <m:t xml:space="preserve">R</m:t>
                </m:r>
              </m:e>
              <m:sub>
                <m:r>
                  <w:rPr>
                    <w:rFonts w:ascii="Cambria Math" w:hAnsi="Cambria Math"/>
                  </w:rPr>
                  <m:t xml:space="preserve">r</m:t>
                </m:r>
              </m:sub>
            </m:sSub>
          </m:num>
          <m:den>
            <m:sSub>
              <m:e>
                <m:r>
                  <w:rPr>
                    <w:rFonts w:ascii="Cambria Math" w:hAnsi="Cambria Math"/>
                  </w:rPr>
                  <m:t xml:space="preserve">N</m:t>
                </m:r>
              </m:e>
              <m:sub>
                <m:r>
                  <w:rPr>
                    <w:rFonts w:ascii="Cambria Math" w:hAnsi="Cambria Math"/>
                  </w:rPr>
                  <m:t xml:space="preserve">u</m:t>
                </m:r>
              </m:sub>
            </m:sSub>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ListParagraph"/>
        <w:widowControl w:val="false"/>
        <w:suppressAutoHyphens w:val="true"/>
        <w:spacing w:lineRule="auto" w:line="264" w:before="0" w:after="0"/>
        <w:ind w:left="450" w:hanging="0"/>
        <w:contextualSpacing/>
        <w:jc w:val="center"/>
        <w:rPr>
          <w:rFonts w:ascii="Times New Roman" w:hAnsi="Times New Roman"/>
          <w:sz w:val="14"/>
          <w:szCs w:val="14"/>
        </w:rPr>
      </w:pPr>
      <w:r>
        <w:rPr>
          <w:rFonts w:ascii="Times New Roman" w:hAnsi="Times New Roman"/>
          <w:sz w:val="14"/>
          <w:szCs w:val="14"/>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2.3</w:t>
      </w:r>
      <w:r>
        <w:rPr>
          <w:rFonts w:ascii="Times New Roman" w:hAnsi="Times New Roman"/>
          <w:sz w:val="28"/>
          <w:szCs w:val="28"/>
        </w:rPr>
        <w:t xml:space="preserve"> – отношение 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R</w:t>
      </w:r>
      <w:r>
        <w:rPr>
          <w:rFonts w:ascii="Times New Roman" w:hAnsi="Times New Roman"/>
          <w:sz w:val="28"/>
          <w:szCs w:val="28"/>
          <w:vertAlign w:val="subscript"/>
          <w:lang w:val="en-US"/>
        </w:rPr>
        <w:t>r</w:t>
      </w:r>
      <w:r>
        <w:rPr>
          <w:rFonts w:ascii="Times New Roman" w:hAnsi="Times New Roman"/>
          <w:sz w:val="28"/>
          <w:szCs w:val="28"/>
        </w:rPr>
        <w:t xml:space="preserve"> – доля расходов на содержание органов государственной власти Брянской области,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N</w:t>
      </w:r>
      <w:r>
        <w:rPr>
          <w:rFonts w:ascii="Times New Roman" w:hAnsi="Times New Roman"/>
          <w:sz w:val="28"/>
          <w:szCs w:val="28"/>
          <w:vertAlign w:val="subscript"/>
        </w:rPr>
        <w:t>u</w:t>
      </w:r>
      <w:r>
        <w:rPr>
          <w:rFonts w:ascii="Times New Roman" w:hAnsi="Times New Roman"/>
          <w:sz w:val="28"/>
          <w:szCs w:val="28"/>
        </w:rPr>
        <w:t xml:space="preserve"> – установленный норматив формирования расходов на содержание органов государственной власти Брянской области в соответствии с правовыми актами Российской Федерации,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Порядок расчета доли расходов на содержание органов государственной власти Брянской области определен постановлениями Правительства Российской Федерации.</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Норматив формирования расходов на содержание органов государственной власти Брянской области утверждается правовыми актами Российской Федерации ежегодно.</w:t>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rPr>
        <w:t>Информация размещается на официальном сайте Министерства финансов Российской Федерации (</w:t>
      </w:r>
      <w:r>
        <w:rPr>
          <w:rFonts w:ascii="Times New Roman" w:hAnsi="Times New Roman"/>
          <w:sz w:val="28"/>
          <w:szCs w:val="28"/>
          <w:lang w:val="en-US"/>
        </w:rPr>
        <w:t>minfin</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pPr>
        <w:pStyle w:val="Normal"/>
        <w:widowControl w:val="false"/>
        <w:numPr>
          <w:ilvl w:val="1"/>
          <w:numId w:val="3"/>
        </w:numPr>
        <w:suppressAutoHyphens w:val="true"/>
        <w:spacing w:lineRule="auto" w:line="264" w:before="0" w:after="0"/>
        <w:ind w:left="0" w:firstLine="709"/>
        <w:jc w:val="both"/>
        <w:rPr>
          <w:rFonts w:ascii="Times New Roman" w:hAnsi="Times New Roman"/>
          <w:color w:val="000000"/>
          <w:sz w:val="28"/>
          <w:szCs w:val="28"/>
        </w:rPr>
      </w:pPr>
      <w:r>
        <w:rPr>
          <w:rFonts w:ascii="Times New Roman" w:hAnsi="Times New Roman"/>
          <w:sz w:val="28"/>
          <w:szCs w:val="28"/>
        </w:rPr>
        <w:t>Соотношение недополученных доходов по региональным налогам и по налогу на прибыль организаций в результате действия налоговых льгот, установленных в соответствии с законодательством Брянской области, к общему объему поступивших региональных налогов и налога на прибыль организаций определяется следующим образом:</w:t>
      </w:r>
    </w:p>
    <w:p>
      <w:pPr>
        <w:pStyle w:val="Normal"/>
        <w:widowControl w:val="false"/>
        <w:suppressAutoHyphens w:val="true"/>
        <w:spacing w:lineRule="auto" w:line="264" w:before="0" w:after="0"/>
        <w:ind w:left="709" w:hanging="0"/>
        <w:jc w:val="both"/>
        <w:rPr>
          <w:rFonts w:ascii="Times New Roman" w:hAnsi="Times New Roman"/>
          <w:color w:val="000000"/>
          <w:sz w:val="14"/>
          <w:szCs w:val="14"/>
        </w:rPr>
      </w:pPr>
      <w:r>
        <w:rPr>
          <w:rFonts w:ascii="Times New Roman" w:hAnsi="Times New Roman"/>
          <w:color w:val="000000"/>
          <w:sz w:val="14"/>
          <w:szCs w:val="14"/>
        </w:rPr>
      </w:r>
    </w:p>
    <w:p>
      <w:pPr>
        <w:pStyle w:val="Normal"/>
        <w:widowControl w:val="false"/>
        <w:suppressAutoHyphens w:val="true"/>
        <w:spacing w:lineRule="auto" w:line="264" w:before="0" w:after="0"/>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2.4</m:t>
            </m:r>
          </m:sub>
        </m:sSub>
        <m:r>
          <w:rPr>
            <w:rFonts w:ascii="Cambria Math" w:hAnsi="Cambria Math"/>
          </w:rPr>
          <m:t xml:space="preserve">=</m:t>
        </m:r>
        <m:f>
          <m:num>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sSub>
              <m:e>
                <m:r>
                  <w:rPr>
                    <w:rFonts w:ascii="Cambria Math" w:hAnsi="Cambria Math"/>
                  </w:rPr>
                  <m:t xml:space="preserve">A</m:t>
                </m:r>
              </m:e>
              <m:sub>
                <m:r>
                  <w:rPr>
                    <w:rFonts w:ascii="Cambria Math" w:hAnsi="Cambria Math"/>
                  </w:rPr>
                  <m:t xml:space="preserve">2</m:t>
                </m:r>
              </m:sub>
            </m:sSub>
          </m:num>
          <m:den>
            <m:r>
              <w:rPr>
                <w:rFonts w:ascii="Cambria Math" w:hAnsi="Cambria Math"/>
              </w:rPr>
              <m:t xml:space="preserve">B</m:t>
            </m:r>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709" w:hanging="0"/>
        <w:jc w:val="both"/>
        <w:rPr>
          <w:rFonts w:ascii="Times New Roman" w:hAnsi="Times New Roman"/>
          <w:color w:val="000000"/>
          <w:sz w:val="28"/>
          <w:szCs w:val="28"/>
        </w:rPr>
      </w:pPr>
      <w:r>
        <w:rPr>
          <w:rFonts w:ascii="Times New Roman" w:hAnsi="Times New Roman"/>
          <w:color w:val="000000"/>
          <w:sz w:val="28"/>
          <w:szCs w:val="28"/>
        </w:rPr>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2.4</w:t>
      </w:r>
      <w:r>
        <w:rPr>
          <w:rFonts w:ascii="Times New Roman" w:hAnsi="Times New Roman"/>
          <w:sz w:val="28"/>
          <w:szCs w:val="28"/>
        </w:rPr>
        <w:t xml:space="preserve"> – соотношение недополученных доходов по региональным налогам и по налогу на прибыль организаций в результате действия налоговых льгот, установленных в соответствии с законодательством Брянской области, к общему объему поступивших региональных налогов и налога на прибыль организаций, %;</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A</w:t>
      </w:r>
      <w:r>
        <w:rPr>
          <w:rFonts w:ascii="Times New Roman" w:hAnsi="Times New Roman"/>
          <w:sz w:val="28"/>
          <w:szCs w:val="28"/>
          <w:vertAlign w:val="subscript"/>
          <w:lang w:eastAsia="en-US"/>
        </w:rPr>
        <w:t>1</w:t>
      </w:r>
      <w:r>
        <w:rPr>
          <w:rFonts w:ascii="Times New Roman" w:hAnsi="Times New Roman"/>
          <w:sz w:val="28"/>
          <w:szCs w:val="28"/>
          <w:lang w:eastAsia="en-US"/>
        </w:rPr>
        <w:t xml:space="preserve"> – объем недополученных доходов по региональным налогам в результате действия налоговых льгот, установленных законодательством Брянской области, в отчетном финансовом году, рублей;</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A</w:t>
      </w:r>
      <w:r>
        <w:rPr>
          <w:rFonts w:ascii="Times New Roman" w:hAnsi="Times New Roman"/>
          <w:sz w:val="28"/>
          <w:szCs w:val="28"/>
          <w:vertAlign w:val="subscript"/>
          <w:lang w:eastAsia="en-US"/>
        </w:rPr>
        <w:t>2</w:t>
      </w:r>
      <w:r>
        <w:rPr>
          <w:rFonts w:ascii="Times New Roman" w:hAnsi="Times New Roman"/>
          <w:sz w:val="28"/>
          <w:szCs w:val="28"/>
          <w:lang w:eastAsia="en-US"/>
        </w:rPr>
        <w:t xml:space="preserve"> – объем недополученных доходов по налогу на прибыль организаций в результате действия налоговых льгот, установленных законодательством Брянской области, в отчетном финансовом году, рублей;</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B – общий объем доходов от поступления региональных налогов и налога на прибыль организаций в отчетном финансовом году, рублей.</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Информация об объеме недополученных доходов областного бюджета в связи с предоставлением налоговых льгот на региональном уровне размещается на официальном сайте Департамента финансов Брянской области (bryanskoblfin.ru).</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w:t>
      </w:r>
      <w:r>
        <w:rPr>
          <w:rFonts w:ascii="Times New Roman" w:hAnsi="Times New Roman"/>
          <w:sz w:val="28"/>
          <w:szCs w:val="28"/>
          <w:lang w:val="en-US"/>
        </w:rPr>
        <w:t>bryanskoblfin</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Едином портале бюджетной системы Российской Федерации (</w:t>
      </w:r>
      <w:r>
        <w:rPr>
          <w:rFonts w:ascii="Times New Roman" w:hAnsi="Times New Roman"/>
          <w:sz w:val="28"/>
          <w:szCs w:val="28"/>
          <w:lang w:val="en-US"/>
        </w:rPr>
        <w:t>budget</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или на официальном сайте Федерального казначейства (</w:t>
      </w:r>
      <w:r>
        <w:rPr>
          <w:rFonts w:ascii="Times New Roman" w:hAnsi="Times New Roman"/>
          <w:sz w:val="28"/>
          <w:szCs w:val="28"/>
          <w:lang w:val="en-US"/>
        </w:rPr>
        <w:t>roskazna</w:t>
      </w:r>
      <w:r>
        <w:rPr>
          <w:rFonts w:ascii="Times New Roman" w:hAnsi="Times New Roman"/>
          <w:sz w:val="28"/>
          <w:szCs w:val="28"/>
        </w:rPr>
        <w:t>.</w:t>
      </w:r>
      <w:r>
        <w:rPr>
          <w:rFonts w:ascii="Times New Roman" w:hAnsi="Times New Roman"/>
          <w:sz w:val="28"/>
          <w:szCs w:val="28"/>
          <w:lang w:val="en-US"/>
        </w:rPr>
        <w:t>gov</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r>
    </w:p>
    <w:p>
      <w:pPr>
        <w:pStyle w:val="Normal"/>
        <w:widowControl w:val="false"/>
        <w:numPr>
          <w:ilvl w:val="0"/>
          <w:numId w:val="3"/>
        </w:numPr>
        <w:suppressAutoHyphens w:val="true"/>
        <w:spacing w:lineRule="auto" w:line="264" w:before="0" w:after="0"/>
        <w:contextualSpacing/>
        <w:jc w:val="center"/>
        <w:rPr>
          <w:rFonts w:ascii="Times New Roman" w:hAnsi="Times New Roman"/>
          <w:sz w:val="28"/>
          <w:szCs w:val="28"/>
        </w:rPr>
      </w:pPr>
      <w:r>
        <w:rPr>
          <w:rFonts w:ascii="Times New Roman" w:hAnsi="Times New Roman"/>
          <w:sz w:val="28"/>
          <w:szCs w:val="28"/>
        </w:rPr>
        <w:t>Совершенствование информационного обеспечения процессов планирования и исполнения областного бюджета</w:t>
      </w:r>
    </w:p>
    <w:p>
      <w:pPr>
        <w:pStyle w:val="Normal"/>
        <w:widowControl w:val="false"/>
        <w:suppressAutoHyphens w:val="true"/>
        <w:spacing w:lineRule="auto" w:line="264" w:before="0" w:after="0"/>
        <w:ind w:left="450" w:hanging="0"/>
        <w:contextualSpacing/>
        <w:rPr>
          <w:rFonts w:ascii="Times New Roman" w:hAnsi="Times New Roman"/>
          <w:sz w:val="28"/>
          <w:szCs w:val="28"/>
        </w:rPr>
      </w:pPr>
      <w:r>
        <w:rPr>
          <w:rFonts w:ascii="Times New Roman" w:hAnsi="Times New Roman"/>
          <w:sz w:val="28"/>
          <w:szCs w:val="28"/>
        </w:rPr>
      </w:r>
    </w:p>
    <w:p>
      <w:pPr>
        <w:pStyle w:val="Normal"/>
        <w:widowControl w:val="false"/>
        <w:numPr>
          <w:ilvl w:val="1"/>
          <w:numId w:val="3"/>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«Электронный бюджет».</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В соответствии с приказом Минфина России от 28 декабря 2016 года № 243н «О составе и порядке размещения и предоставления информации на едином портале бюджетной системы Российской Федерации» информация о системе управления государственными финансами Брянской области размещается на едином портале бюджетной системы Российской Федерации «Электронный бюджет» (budget.gov.ru) в сроки, установленные приказом Департамента финансов Брянской области.</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В целях расчета значения показателя учитываются наборы информации, предусмотренные приказом Минфина России от 28 декабря 2016 года № 243н, по которым на едином портале бюджетной системы Российской Федерации имеется техническая возможность их размещения.</w:t>
      </w:r>
    </w:p>
    <w:p>
      <w:pPr>
        <w:pStyle w:val="Normal"/>
        <w:widowControl w:val="false"/>
        <w:numPr>
          <w:ilvl w:val="1"/>
          <w:numId w:val="3"/>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Доля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следующим образом:</w:t>
      </w:r>
    </w:p>
    <w:p>
      <w:pPr>
        <w:pStyle w:val="Normal"/>
        <w:widowControl w:val="false"/>
        <w:suppressAutoHyphens w:val="true"/>
        <w:spacing w:lineRule="auto" w:line="264" w:before="0" w:after="0"/>
        <w:ind w:left="709" w:hanging="0"/>
        <w:jc w:val="both"/>
        <w:rPr>
          <w:rFonts w:ascii="Times New Roman" w:hAnsi="Times New Roman"/>
          <w:sz w:val="14"/>
          <w:szCs w:val="14"/>
        </w:rPr>
      </w:pPr>
      <w:r>
        <w:rPr>
          <w:rFonts w:ascii="Times New Roman" w:hAnsi="Times New Roman"/>
          <w:sz w:val="14"/>
          <w:szCs w:val="14"/>
        </w:rPr>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3.2</m:t>
            </m:r>
          </m:sub>
        </m:sSub>
        <m:r>
          <w:rPr>
            <w:rFonts w:ascii="Cambria Math" w:hAnsi="Cambria Math"/>
          </w:rPr>
          <m:t xml:space="preserve">=</m:t>
        </m:r>
        <m:f>
          <m:num>
            <m:sSub>
              <m:e>
                <m:r>
                  <w:rPr>
                    <w:rFonts w:ascii="Cambria Math" w:hAnsi="Cambria Math"/>
                  </w:rPr>
                  <m:t xml:space="preserve">N</m:t>
                </m:r>
              </m:e>
              <m:sub>
                <m:r>
                  <w:rPr>
                    <w:rFonts w:ascii="Cambria Math" w:hAnsi="Cambria Math"/>
                  </w:rPr>
                  <m:t xml:space="preserve">UIn</m:t>
                </m:r>
              </m:sub>
            </m:sSub>
          </m:num>
          <m:den>
            <m:sSub>
              <m:e>
                <m:r>
                  <w:rPr>
                    <w:rFonts w:ascii="Cambria Math" w:hAnsi="Cambria Math"/>
                  </w:rPr>
                  <m:t xml:space="preserve">N</m:t>
                </m:r>
              </m:e>
              <m:sub>
                <m:r>
                  <w:rPr>
                    <w:rFonts w:ascii="Cambria Math" w:hAnsi="Cambria Math"/>
                  </w:rPr>
                  <m:t xml:space="preserve">u</m:t>
                </m:r>
              </m:sub>
            </m:sSub>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709" w:hanging="0"/>
        <w:jc w:val="both"/>
        <w:rPr>
          <w:rFonts w:ascii="Times New Roman" w:hAnsi="Times New Roman"/>
          <w:sz w:val="14"/>
          <w:szCs w:val="14"/>
        </w:rPr>
      </w:pPr>
      <w:r>
        <w:rPr>
          <w:rFonts w:ascii="Times New Roman" w:hAnsi="Times New Roman"/>
          <w:sz w:val="14"/>
          <w:szCs w:val="14"/>
        </w:rPr>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iCs/>
          <w:sz w:val="28"/>
          <w:szCs w:val="28"/>
          <w:lang w:val="en-US" w:eastAsia="en-US"/>
        </w:rPr>
        <w:t>P</w:t>
      </w:r>
      <w:r>
        <w:rPr>
          <w:rFonts w:ascii="Times New Roman" w:hAnsi="Times New Roman"/>
          <w:iCs/>
          <w:sz w:val="28"/>
          <w:szCs w:val="28"/>
          <w:vertAlign w:val="subscript"/>
          <w:lang w:eastAsia="en-US"/>
        </w:rPr>
        <w:t>3.2</w:t>
      </w:r>
      <w:r>
        <w:rPr>
          <w:rFonts w:ascii="Times New Roman" w:hAnsi="Times New Roman"/>
          <w:sz w:val="28"/>
          <w:szCs w:val="28"/>
          <w:lang w:eastAsia="en-US"/>
        </w:rPr>
        <w:t xml:space="preserve"> – доля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val="en-US" w:eastAsia="en-US"/>
        </w:rPr>
        <w:t>N</w:t>
      </w:r>
      <w:r>
        <w:rPr>
          <w:rFonts w:ascii="Times New Roman" w:hAnsi="Times New Roman"/>
          <w:sz w:val="28"/>
          <w:szCs w:val="28"/>
          <w:vertAlign w:val="subscript"/>
          <w:lang w:val="en-US" w:eastAsia="en-US"/>
        </w:rPr>
        <w:t>UIn</w:t>
      </w:r>
      <w:r>
        <w:rPr>
          <w:rFonts w:ascii="Times New Roman" w:hAnsi="Times New Roman"/>
          <w:sz w:val="28"/>
          <w:szCs w:val="28"/>
          <w:lang w:eastAsia="en-US"/>
        </w:rPr>
        <w:t xml:space="preserve"> – количество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единиц;</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val="en-US" w:eastAsia="en-US"/>
        </w:rPr>
        <w:t>N</w:t>
      </w:r>
      <w:r>
        <w:rPr>
          <w:rFonts w:ascii="Times New Roman" w:hAnsi="Times New Roman"/>
          <w:sz w:val="28"/>
          <w:szCs w:val="28"/>
          <w:vertAlign w:val="subscript"/>
          <w:lang w:val="en-US" w:eastAsia="en-US"/>
        </w:rPr>
        <w:t>U</w:t>
      </w:r>
      <w:r>
        <w:rPr>
          <w:rFonts w:ascii="Times New Roman" w:hAnsi="Times New Roman"/>
          <w:sz w:val="28"/>
          <w:szCs w:val="28"/>
          <w:lang w:eastAsia="en-US"/>
        </w:rPr>
        <w:t xml:space="preserve"> – количество участников бюджетного процесса, единиц;</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Количество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на основании данных Департамента финансов Брянской области.</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Общее количество участников бюджетного процесса определяется на основании данных реестра участников бюджетного процесса, а также юридических лиц, не являющихся участниками бюджетного процесса, публикуемого на Едином портале бюджетной системы Российской Федерации (</w:t>
      </w:r>
      <w:r>
        <w:rPr>
          <w:rFonts w:ascii="Times New Roman" w:hAnsi="Times New Roman"/>
          <w:sz w:val="28"/>
          <w:szCs w:val="28"/>
          <w:lang w:val="en-US" w:eastAsia="en-US"/>
        </w:rPr>
        <w:t>budget</w:t>
      </w:r>
      <w:r>
        <w:rPr>
          <w:rFonts w:ascii="Times New Roman" w:hAnsi="Times New Roman"/>
          <w:sz w:val="28"/>
          <w:szCs w:val="28"/>
          <w:lang w:eastAsia="en-US"/>
        </w:rPr>
        <w:t>.</w:t>
      </w:r>
      <w:r>
        <w:rPr>
          <w:rFonts w:ascii="Times New Roman" w:hAnsi="Times New Roman"/>
          <w:sz w:val="28"/>
          <w:szCs w:val="28"/>
          <w:lang w:val="en-US" w:eastAsia="en-US"/>
        </w:rPr>
        <w:t>gov</w:t>
      </w:r>
      <w:r>
        <w:rPr>
          <w:rFonts w:ascii="Times New Roman" w:hAnsi="Times New Roman"/>
          <w:sz w:val="28"/>
          <w:szCs w:val="28"/>
          <w:lang w:eastAsia="en-US"/>
        </w:rPr>
        <w:t>.</w:t>
      </w:r>
      <w:r>
        <w:rPr>
          <w:rFonts w:ascii="Times New Roman" w:hAnsi="Times New Roman"/>
          <w:sz w:val="28"/>
          <w:szCs w:val="28"/>
          <w:lang w:val="en-US" w:eastAsia="en-US"/>
        </w:rPr>
        <w:t>ru</w:t>
      </w:r>
      <w:r>
        <w:rPr>
          <w:rFonts w:ascii="Times New Roman" w:hAnsi="Times New Roman"/>
          <w:sz w:val="28"/>
          <w:szCs w:val="28"/>
          <w:lang w:eastAsia="en-US"/>
        </w:rPr>
        <w:t>).</w:t>
      </w:r>
    </w:p>
    <w:p>
      <w:pPr>
        <w:pStyle w:val="Normal"/>
        <w:widowControl w:val="false"/>
        <w:numPr>
          <w:ilvl w:val="1"/>
          <w:numId w:val="3"/>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Доля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следующим образом:</w:t>
      </w:r>
    </w:p>
    <w:p>
      <w:pPr>
        <w:pStyle w:val="Normal"/>
        <w:widowControl w:val="false"/>
        <w:suppressAutoHyphens w:val="true"/>
        <w:spacing w:lineRule="auto" w:line="264" w:before="0" w:after="0"/>
        <w:ind w:left="709" w:hanging="0"/>
        <w:jc w:val="both"/>
        <w:rPr>
          <w:rFonts w:ascii="Times New Roman" w:hAnsi="Times New Roman"/>
          <w:sz w:val="14"/>
          <w:szCs w:val="14"/>
        </w:rPr>
      </w:pPr>
      <w:r>
        <w:rPr>
          <w:rFonts w:ascii="Times New Roman" w:hAnsi="Times New Roman"/>
          <w:sz w:val="14"/>
          <w:szCs w:val="14"/>
        </w:rPr>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3.3</m:t>
            </m:r>
          </m:sub>
        </m:sSub>
        <m:r>
          <w:rPr>
            <w:rFonts w:ascii="Cambria Math" w:hAnsi="Cambria Math"/>
          </w:rPr>
          <m:t xml:space="preserve">=</m:t>
        </m:r>
        <m:f>
          <m:num>
            <m:sSub>
              <m:e>
                <m:r>
                  <w:rPr>
                    <w:rFonts w:ascii="Cambria Math" w:hAnsi="Cambria Math"/>
                  </w:rPr>
                  <m:t xml:space="preserve">M</m:t>
                </m:r>
              </m:e>
              <m:sub>
                <m:r>
                  <w:rPr>
                    <w:rFonts w:ascii="Cambria Math" w:hAnsi="Cambria Math"/>
                  </w:rPr>
                  <m:t xml:space="preserve">UIn</m:t>
                </m:r>
              </m:sub>
            </m:sSub>
          </m:num>
          <m:den>
            <m:sSub>
              <m:e>
                <m:r>
                  <w:rPr>
                    <w:rFonts w:ascii="Cambria Math" w:hAnsi="Cambria Math"/>
                  </w:rPr>
                  <m:t xml:space="preserve">M</m:t>
                </m:r>
              </m:e>
              <m:sub>
                <m:r>
                  <w:rPr>
                    <w:rFonts w:ascii="Cambria Math" w:hAnsi="Cambria Math"/>
                  </w:rPr>
                  <m:t xml:space="preserve">u</m:t>
                </m:r>
              </m:sub>
            </m:sSub>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709" w:hanging="0"/>
        <w:jc w:val="both"/>
        <w:rPr>
          <w:rFonts w:ascii="Times New Roman" w:hAnsi="Times New Roman"/>
          <w:sz w:val="14"/>
          <w:szCs w:val="14"/>
        </w:rPr>
      </w:pPr>
      <w:r>
        <w:rPr>
          <w:rFonts w:ascii="Times New Roman" w:hAnsi="Times New Roman"/>
          <w:sz w:val="14"/>
          <w:szCs w:val="14"/>
        </w:rPr>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P</w:t>
      </w:r>
      <w:r>
        <w:rPr>
          <w:rFonts w:ascii="Times New Roman" w:hAnsi="Times New Roman"/>
          <w:sz w:val="28"/>
          <w:szCs w:val="28"/>
          <w:vertAlign w:val="subscript"/>
          <w:lang w:eastAsia="en-US"/>
        </w:rPr>
        <w:t>3.3</w:t>
      </w:r>
      <w:r>
        <w:rPr>
          <w:rFonts w:ascii="Times New Roman" w:hAnsi="Times New Roman"/>
          <w:sz w:val="28"/>
          <w:szCs w:val="28"/>
          <w:lang w:eastAsia="en-US"/>
        </w:rPr>
        <w:t xml:space="preserve"> – доля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val="en-US" w:eastAsia="en-US"/>
        </w:rPr>
        <w:t>M</w:t>
      </w:r>
      <w:r>
        <w:rPr>
          <w:rFonts w:ascii="Times New Roman" w:hAnsi="Times New Roman"/>
          <w:sz w:val="28"/>
          <w:szCs w:val="28"/>
          <w:vertAlign w:val="subscript"/>
          <w:lang w:val="en-US" w:eastAsia="en-US"/>
        </w:rPr>
        <w:t>UIn</w:t>
      </w:r>
      <w:r>
        <w:rPr>
          <w:rFonts w:ascii="Times New Roman" w:hAnsi="Times New Roman"/>
          <w:sz w:val="28"/>
          <w:szCs w:val="28"/>
          <w:lang w:eastAsia="en-US"/>
        </w:rPr>
        <w:t xml:space="preserve"> – количество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единиц;</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val="en-US" w:eastAsia="en-US"/>
        </w:rPr>
        <w:t>M</w:t>
      </w:r>
      <w:r>
        <w:rPr>
          <w:rFonts w:ascii="Times New Roman" w:hAnsi="Times New Roman"/>
          <w:sz w:val="28"/>
          <w:szCs w:val="28"/>
          <w:vertAlign w:val="subscript"/>
          <w:lang w:val="en-US" w:eastAsia="en-US"/>
        </w:rPr>
        <w:t>u</w:t>
      </w:r>
      <w:r>
        <w:rPr>
          <w:rFonts w:ascii="Times New Roman" w:hAnsi="Times New Roman"/>
          <w:sz w:val="28"/>
          <w:szCs w:val="28"/>
          <w:lang w:eastAsia="en-US"/>
        </w:rPr>
        <w:t xml:space="preserve"> – количество бюджетных и автономных учреждений, единиц;</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Количество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на основании данных Департамента финансов Брянской области.</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Общее количество бюджетных и автономных учреждений определяется на основании данных реестра участников бюджетного процесса, а также юридических лиц, не являющихся участниками бюджетного процесса, публикуемого на Едином портале бюджетной системы Российской Федерации (</w:t>
      </w:r>
      <w:r>
        <w:rPr>
          <w:rFonts w:ascii="Times New Roman" w:hAnsi="Times New Roman"/>
          <w:sz w:val="28"/>
          <w:szCs w:val="28"/>
          <w:lang w:val="en-US" w:eastAsia="en-US"/>
        </w:rPr>
        <w:t>budget</w:t>
      </w:r>
      <w:r>
        <w:rPr>
          <w:rFonts w:ascii="Times New Roman" w:hAnsi="Times New Roman"/>
          <w:sz w:val="28"/>
          <w:szCs w:val="28"/>
          <w:lang w:eastAsia="en-US"/>
        </w:rPr>
        <w:t>.</w:t>
      </w:r>
      <w:r>
        <w:rPr>
          <w:rFonts w:ascii="Times New Roman" w:hAnsi="Times New Roman"/>
          <w:sz w:val="28"/>
          <w:szCs w:val="28"/>
          <w:lang w:val="en-US" w:eastAsia="en-US"/>
        </w:rPr>
        <w:t>gov</w:t>
      </w:r>
      <w:r>
        <w:rPr>
          <w:rFonts w:ascii="Times New Roman" w:hAnsi="Times New Roman"/>
          <w:sz w:val="28"/>
          <w:szCs w:val="28"/>
          <w:lang w:eastAsia="en-US"/>
        </w:rPr>
        <w:t>.</w:t>
      </w:r>
      <w:r>
        <w:rPr>
          <w:rFonts w:ascii="Times New Roman" w:hAnsi="Times New Roman"/>
          <w:sz w:val="28"/>
          <w:szCs w:val="28"/>
          <w:lang w:val="en-US" w:eastAsia="en-US"/>
        </w:rPr>
        <w:t>ru</w:t>
      </w:r>
      <w:r>
        <w:rPr>
          <w:rFonts w:ascii="Times New Roman" w:hAnsi="Times New Roman"/>
          <w:sz w:val="28"/>
          <w:szCs w:val="28"/>
          <w:lang w:eastAsia="en-US"/>
        </w:rPr>
        <w:t>).</w:t>
      </w:r>
    </w:p>
    <w:p>
      <w:pPr>
        <w:pStyle w:val="Normal"/>
        <w:widowControl w:val="false"/>
        <w:numPr>
          <w:ilvl w:val="1"/>
          <w:numId w:val="3"/>
        </w:numPr>
        <w:suppressAutoHyphens w:val="true"/>
        <w:spacing w:lineRule="auto" w:line="264" w:before="0" w:after="0"/>
        <w:ind w:left="0" w:firstLine="709"/>
        <w:jc w:val="both"/>
        <w:rPr>
          <w:rFonts w:ascii="Times New Roman" w:hAnsi="Times New Roman"/>
          <w:b/>
          <w:b/>
          <w:sz w:val="28"/>
          <w:szCs w:val="28"/>
        </w:rPr>
      </w:pPr>
      <w:r>
        <w:rPr>
          <w:rFonts w:ascii="Times New Roman" w:hAnsi="Times New Roman"/>
          <w:sz w:val="28"/>
          <w:szCs w:val="28"/>
        </w:rPr>
        <w:t>Группа субъектов по качеству управления финансами, к которой отнесена Брянская область в соответствии с утвержденной методикой оценки, определяется на основании проводимой Минфином России ежегодно оценки качества управления финансами субъектов Российской Федерации в соответствии с приказом Минфина России от 3 декабря 2010 года № 552 «О Порядке осуществления мониторинга и оценки качества управления региональными финансами». Результаты оценки ежегодно публикуются на официальном сайте Минфина России (minfin.</w:t>
      </w:r>
      <w:r>
        <w:rPr>
          <w:rFonts w:ascii="Times New Roman" w:hAnsi="Times New Roman"/>
          <w:sz w:val="28"/>
          <w:szCs w:val="28"/>
          <w:lang w:val="en-US"/>
        </w:rPr>
        <w:t>gov</w:t>
      </w:r>
      <w:r>
        <w:rPr>
          <w:rFonts w:ascii="Times New Roman" w:hAnsi="Times New Roman"/>
          <w:sz w:val="28"/>
          <w:szCs w:val="28"/>
        </w:rPr>
        <w:t>.ru).</w:t>
      </w:r>
    </w:p>
    <w:p>
      <w:pPr>
        <w:pStyle w:val="Normal"/>
        <w:widowControl w:val="false"/>
        <w:suppressAutoHyphens w:val="true"/>
        <w:spacing w:lineRule="auto" w:line="264" w:before="0" w:after="0"/>
        <w:ind w:left="709" w:hanging="0"/>
        <w:jc w:val="both"/>
        <w:rPr>
          <w:rFonts w:ascii="Times New Roman" w:hAnsi="Times New Roman"/>
          <w:sz w:val="28"/>
          <w:szCs w:val="28"/>
        </w:rPr>
      </w:pPr>
      <w:r>
        <w:rPr>
          <w:rFonts w:ascii="Times New Roman" w:hAnsi="Times New Roman"/>
          <w:sz w:val="28"/>
          <w:szCs w:val="28"/>
        </w:rPr>
        <w:t>Показатель принимает следующие возможные значения</w:t>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rPr>
        <w:t>1 – группа «субъекты Российской Федерации с высоким качеством управления региональными финансами»;</w:t>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rPr>
        <w:t>2 – группа «субъекты Российской Федерации с надлежащим качеством управления региональными финансами»;</w:t>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rPr>
        <w:t>3 – группа «субъекты Российской Федерации с низким качеством управления региональными финансами».</w:t>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rPr>
      </w:r>
    </w:p>
    <w:p>
      <w:pPr>
        <w:pStyle w:val="Normal"/>
        <w:widowControl w:val="false"/>
        <w:numPr>
          <w:ilvl w:val="0"/>
          <w:numId w:val="4"/>
        </w:numPr>
        <w:suppressAutoHyphens w:val="true"/>
        <w:spacing w:lineRule="auto" w:line="264" w:before="0" w:after="0"/>
        <w:jc w:val="both"/>
        <w:rPr>
          <w:rFonts w:ascii="Times New Roman" w:hAnsi="Times New Roman"/>
          <w:sz w:val="28"/>
          <w:szCs w:val="28"/>
        </w:rPr>
      </w:pPr>
      <w:r>
        <w:rPr>
          <w:rFonts w:ascii="Times New Roman" w:hAnsi="Times New Roman"/>
          <w:sz w:val="28"/>
          <w:szCs w:val="28"/>
        </w:rPr>
        <w:t>Совершенствование системы контроля и качества финансового менеджмента главных распорядителей средств областного бюджета</w:t>
      </w:r>
    </w:p>
    <w:p>
      <w:pPr>
        <w:pStyle w:val="Normal"/>
        <w:widowControl w:val="false"/>
        <w:suppressAutoHyphens w:val="true"/>
        <w:spacing w:lineRule="auto" w:line="264" w:before="0" w:after="0"/>
        <w:ind w:left="450" w:hanging="0"/>
        <w:jc w:val="both"/>
        <w:rPr>
          <w:rFonts w:ascii="Times New Roman" w:hAnsi="Times New Roman"/>
          <w:sz w:val="28"/>
          <w:szCs w:val="28"/>
        </w:rPr>
      </w:pPr>
      <w:r>
        <w:rPr>
          <w:rFonts w:ascii="Times New Roman" w:hAnsi="Times New Roman"/>
          <w:sz w:val="28"/>
          <w:szCs w:val="28"/>
        </w:rPr>
      </w:r>
    </w:p>
    <w:p>
      <w:pPr>
        <w:pStyle w:val="Normal"/>
        <w:widowControl w:val="false"/>
        <w:numPr>
          <w:ilvl w:val="1"/>
          <w:numId w:val="4"/>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Проведение оценки качества финансового менеджмента главных администраторов средств областного бюджета.</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Показатель принимает значение «Да» (1) или «Нет» (0) в зависимости от проведения в отчетном финансовом году оценки качества финансового менеджмента главных администраторов средств областного бюджета и публикации результатов оценки.</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Результаты оценки качества финансового менеджмента главных администраторов средств областного бюджета публикуются на официальном сайте Департамента финансов Брянской области (</w:t>
      </w:r>
      <w:r>
        <w:rPr>
          <w:rFonts w:ascii="Times New Roman" w:hAnsi="Times New Roman"/>
          <w:sz w:val="28"/>
          <w:szCs w:val="28"/>
          <w:lang w:val="en-US" w:eastAsia="en-US"/>
        </w:rPr>
        <w:t>bryanskoblfin</w:t>
      </w:r>
      <w:r>
        <w:rPr>
          <w:rFonts w:ascii="Times New Roman" w:hAnsi="Times New Roman"/>
          <w:sz w:val="28"/>
          <w:szCs w:val="28"/>
          <w:lang w:eastAsia="en-US"/>
        </w:rPr>
        <w:t>.</w:t>
      </w:r>
      <w:r>
        <w:rPr>
          <w:rFonts w:ascii="Times New Roman" w:hAnsi="Times New Roman"/>
          <w:sz w:val="28"/>
          <w:szCs w:val="28"/>
          <w:lang w:val="en-US" w:eastAsia="en-US"/>
        </w:rPr>
        <w:t>ru</w:t>
      </w:r>
      <w:r>
        <w:rPr>
          <w:rFonts w:ascii="Times New Roman" w:hAnsi="Times New Roman"/>
          <w:sz w:val="28"/>
          <w:szCs w:val="28"/>
          <w:lang w:eastAsia="en-US"/>
        </w:rPr>
        <w:t>).</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r>
    </w:p>
    <w:p>
      <w:pPr>
        <w:pStyle w:val="Normal"/>
        <w:numPr>
          <w:ilvl w:val="0"/>
          <w:numId w:val="4"/>
        </w:numPr>
        <w:suppressAutoHyphens w:val="true"/>
        <w:spacing w:lineRule="auto" w:line="264" w:before="0" w:after="0"/>
        <w:contextualSpacing/>
        <w:jc w:val="center"/>
        <w:rPr>
          <w:rFonts w:ascii="Times New Roman" w:hAnsi="Times New Roman"/>
          <w:sz w:val="28"/>
          <w:szCs w:val="28"/>
          <w:lang w:eastAsia="en-US"/>
        </w:rPr>
      </w:pPr>
      <w:r>
        <w:rPr>
          <w:rFonts w:ascii="Times New Roman" w:hAnsi="Times New Roman"/>
          <w:sz w:val="28"/>
          <w:szCs w:val="28"/>
          <w:lang w:eastAsia="en-US"/>
        </w:rPr>
        <w:t>Выравнивание бюджетной обеспеченности, поддержка мер по обеспечению сбалансированности местных бюджетов</w:t>
      </w:r>
    </w:p>
    <w:p>
      <w:pPr>
        <w:pStyle w:val="Normal"/>
        <w:suppressAutoHyphens w:val="true"/>
        <w:spacing w:lineRule="auto" w:line="264" w:before="0" w:after="0"/>
        <w:jc w:val="both"/>
        <w:rPr>
          <w:rFonts w:ascii="Times New Roman" w:hAnsi="Times New Roman"/>
          <w:sz w:val="28"/>
          <w:szCs w:val="28"/>
          <w:lang w:eastAsia="en-US"/>
        </w:rPr>
      </w:pPr>
      <w:r>
        <w:rPr>
          <w:rFonts w:ascii="Times New Roman" w:hAnsi="Times New Roman"/>
          <w:sz w:val="28"/>
          <w:szCs w:val="28"/>
          <w:lang w:eastAsia="en-US"/>
        </w:rPr>
      </w:r>
    </w:p>
    <w:p>
      <w:pPr>
        <w:pStyle w:val="Normal"/>
        <w:widowControl w:val="false"/>
        <w:numPr>
          <w:ilvl w:val="1"/>
          <w:numId w:val="4"/>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Доля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 в общем количестве муниципальных районов (муниципальных округов, городских округов), получающих дотации из областного бюджета, определятся следующим образом:</w:t>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5.1</m:t>
            </m:r>
          </m:sub>
        </m:sSub>
        <m:r>
          <w:rPr>
            <w:rFonts w:ascii="Cambria Math" w:hAnsi="Cambria Math"/>
          </w:rPr>
          <m:t xml:space="preserve">=</m:t>
        </m:r>
        <m:f>
          <m:num>
            <m:sSub>
              <m:e>
                <m:r>
                  <w:rPr>
                    <w:rFonts w:ascii="Cambria Math" w:hAnsi="Cambria Math"/>
                  </w:rPr>
                  <m:t xml:space="preserve">MO</m:t>
                </m:r>
              </m:e>
              <m:sub>
                <m:r>
                  <w:rPr>
                    <w:rFonts w:ascii="Cambria Math" w:hAnsi="Cambria Math"/>
                  </w:rPr>
                  <m:t xml:space="preserve">ag</m:t>
                </m:r>
              </m:sub>
            </m:sSub>
          </m:num>
          <m:den>
            <m:r>
              <w:rPr>
                <w:rFonts w:ascii="Cambria Math" w:hAnsi="Cambria Math"/>
              </w:rPr>
              <m:t xml:space="preserve">MO</m:t>
            </m:r>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709" w:hanging="0"/>
        <w:jc w:val="both"/>
        <w:rPr>
          <w:rFonts w:ascii="Times New Roman" w:hAnsi="Times New Roman"/>
          <w:sz w:val="28"/>
          <w:szCs w:val="28"/>
        </w:rPr>
      </w:pPr>
      <w:r>
        <w:rPr>
          <w:rFonts w:ascii="Times New Roman" w:hAnsi="Times New Roman"/>
          <w:sz w:val="28"/>
          <w:szCs w:val="28"/>
        </w:rPr>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val="en-US" w:eastAsia="en-US"/>
        </w:rPr>
        <w:t>P</w:t>
      </w:r>
      <w:r>
        <w:rPr>
          <w:rFonts w:ascii="Times New Roman" w:hAnsi="Times New Roman"/>
          <w:sz w:val="28"/>
          <w:szCs w:val="28"/>
          <w:vertAlign w:val="subscript"/>
          <w:lang w:eastAsia="en-US"/>
        </w:rPr>
        <w:t>5.1</w:t>
      </w:r>
      <w:r>
        <w:rPr>
          <w:rFonts w:ascii="Times New Roman" w:hAnsi="Times New Roman"/>
          <w:sz w:val="28"/>
          <w:szCs w:val="28"/>
          <w:lang w:eastAsia="en-US"/>
        </w:rPr>
        <w:t xml:space="preserve"> – доля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 в общем количестве муниципальных районов (муниципальных округов, городских округов), получающих дотации из областного бюджета, %;</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val="en-US" w:eastAsia="en-US"/>
        </w:rPr>
        <w:t>MO</w:t>
      </w:r>
      <w:r>
        <w:rPr>
          <w:rFonts w:ascii="Times New Roman" w:hAnsi="Times New Roman"/>
          <w:sz w:val="28"/>
          <w:szCs w:val="28"/>
          <w:vertAlign w:val="subscript"/>
          <w:lang w:val="en-US" w:eastAsia="en-US"/>
        </w:rPr>
        <w:t>ag</w:t>
      </w:r>
      <w:r>
        <w:rPr>
          <w:rFonts w:ascii="Times New Roman" w:hAnsi="Times New Roman"/>
          <w:sz w:val="28"/>
          <w:szCs w:val="28"/>
          <w:lang w:eastAsia="en-US"/>
        </w:rPr>
        <w:t xml:space="preserve"> – количество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val="en-US" w:eastAsia="en-US"/>
        </w:rPr>
        <w:t>MO</w:t>
      </w:r>
      <w:r>
        <w:rPr>
          <w:rFonts w:ascii="Times New Roman" w:hAnsi="Times New Roman"/>
          <w:sz w:val="28"/>
          <w:szCs w:val="28"/>
          <w:lang w:eastAsia="en-US"/>
        </w:rPr>
        <w:t xml:space="preserve"> – количество муниципальных районов (муниципальных округов, городских округов), получающих дотации из областного бюджета.</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Количество заключенных соглашений, предусматривающих меры по социально-экономическому развитию и оздоровлению муниципальных финансов, определяется на основании данных Департамента финансов Брянской области, осуществляющего заключение указанных соглашений с муниципальными районами (муниципальными округами, городскими округами).</w:t>
      </w:r>
    </w:p>
    <w:p>
      <w:pPr>
        <w:pStyle w:val="Normal"/>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Информация о количестве муниципальных районов (муниципальных округов, городских округов), получающих дотации из областного бюджета, содержится в составе приложения к закону Брянской области об областном бюджете на соответствующий финансовый год и на плановый период, утверждающем распределение межбюджетных трансфертов бюджетам муниципальных районов (муниципальных округов, городских округов) (размещается на официальном сайте Департамента финансов Брянской области (</w:t>
      </w:r>
      <w:r>
        <w:rPr>
          <w:rFonts w:ascii="Times New Roman" w:hAnsi="Times New Roman"/>
          <w:sz w:val="28"/>
          <w:szCs w:val="28"/>
          <w:lang w:val="en-US" w:eastAsia="en-US"/>
        </w:rPr>
        <w:t>bryanskoblfin</w:t>
      </w:r>
      <w:r>
        <w:rPr>
          <w:rFonts w:ascii="Times New Roman" w:hAnsi="Times New Roman"/>
          <w:sz w:val="28"/>
          <w:szCs w:val="28"/>
          <w:lang w:eastAsia="en-US"/>
        </w:rPr>
        <w:t>.</w:t>
      </w:r>
      <w:r>
        <w:rPr>
          <w:rFonts w:ascii="Times New Roman" w:hAnsi="Times New Roman"/>
          <w:sz w:val="28"/>
          <w:szCs w:val="28"/>
          <w:lang w:val="en-US" w:eastAsia="en-US"/>
        </w:rPr>
        <w:t>ru</w:t>
      </w:r>
      <w:r>
        <w:rPr>
          <w:rFonts w:ascii="Times New Roman" w:hAnsi="Times New Roman"/>
          <w:sz w:val="28"/>
          <w:szCs w:val="28"/>
          <w:lang w:eastAsia="en-US"/>
        </w:rPr>
        <w:t>)).</w:t>
      </w:r>
    </w:p>
    <w:p>
      <w:pPr>
        <w:pStyle w:val="Normal"/>
        <w:widowControl w:val="false"/>
        <w:numPr>
          <w:ilvl w:val="1"/>
          <w:numId w:val="4"/>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Сокращение величины разрыва среднего уровня расчетной бюджетной обеспеченности определяется следующим образом:</w:t>
      </w:r>
    </w:p>
    <w:p>
      <w:pPr>
        <w:pStyle w:val="Normal"/>
        <w:widowControl w:val="false"/>
        <w:suppressAutoHyphens w:val="true"/>
        <w:spacing w:lineRule="auto" w:line="264" w:before="0" w:after="0"/>
        <w:ind w:left="709" w:hanging="0"/>
        <w:jc w:val="both"/>
        <w:rPr>
          <w:rFonts w:ascii="Times New Roman" w:hAnsi="Times New Roman"/>
          <w:sz w:val="14"/>
          <w:szCs w:val="14"/>
        </w:rPr>
      </w:pPr>
      <w:r>
        <w:rPr>
          <w:rFonts w:ascii="Times New Roman" w:hAnsi="Times New Roman"/>
          <w:sz w:val="14"/>
          <w:szCs w:val="14"/>
        </w:rPr>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5.2</m:t>
            </m:r>
          </m:sub>
        </m:sSub>
        <m:r>
          <w:rPr>
            <w:rFonts w:ascii="Cambria Math" w:hAnsi="Cambria Math"/>
          </w:rPr>
          <m:t xml:space="preserve">=</m:t>
        </m:r>
        <m:f>
          <m:num>
            <m:sSub>
              <m:e>
                <m:r>
                  <w:rPr>
                    <w:rFonts w:ascii="Cambria Math" w:hAnsi="Cambria Math"/>
                  </w:rPr>
                  <m:t xml:space="preserve">U</m:t>
                </m:r>
              </m:e>
              <m:sub>
                <m:r>
                  <w:rPr>
                    <w:rFonts w:ascii="Cambria Math" w:hAnsi="Cambria Math"/>
                  </w:rPr>
                  <m:t xml:space="preserve">bf</m:t>
                </m:r>
              </m:sub>
            </m:sSub>
          </m:num>
          <m:den>
            <m:sSub>
              <m:e>
                <m:r>
                  <w:rPr>
                    <w:rFonts w:ascii="Cambria Math" w:hAnsi="Cambria Math"/>
                  </w:rPr>
                  <m:t xml:space="preserve">U</m:t>
                </m:r>
              </m:e>
              <m:sub>
                <m:r>
                  <w:rPr>
                    <w:rFonts w:ascii="Cambria Math" w:hAnsi="Cambria Math"/>
                  </w:rPr>
                  <m:t xml:space="preserve">af</m:t>
                </m:r>
              </m:sub>
            </m:sSub>
          </m:den>
        </m:f>
      </m:oMath>
      <w:r>
        <w:rPr>
          <w:rFonts w:ascii="Times New Roman" w:hAnsi="Times New Roman"/>
          <w:sz w:val="28"/>
          <w:szCs w:val="28"/>
        </w:rPr>
        <w:t>, где:</w:t>
      </w:r>
    </w:p>
    <w:p>
      <w:pPr>
        <w:pStyle w:val="ListParagraph"/>
        <w:widowControl w:val="false"/>
        <w:suppressAutoHyphens w:val="true"/>
        <w:spacing w:lineRule="auto" w:line="264" w:before="0" w:after="0"/>
        <w:ind w:left="450" w:hanging="0"/>
        <w:contextualSpacing/>
        <w:jc w:val="center"/>
        <w:rPr>
          <w:rFonts w:ascii="Times New Roman" w:hAnsi="Times New Roman"/>
          <w:sz w:val="14"/>
          <w:szCs w:val="14"/>
        </w:rPr>
      </w:pPr>
      <w:r>
        <w:rPr>
          <w:rFonts w:ascii="Times New Roman" w:hAnsi="Times New Roman"/>
          <w:sz w:val="14"/>
          <w:szCs w:val="14"/>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iCs/>
          <w:sz w:val="28"/>
          <w:szCs w:val="28"/>
          <w:lang w:val="en-US"/>
        </w:rPr>
        <w:t>P</w:t>
      </w:r>
      <w:r>
        <w:rPr>
          <w:rFonts w:ascii="Times New Roman" w:hAnsi="Times New Roman"/>
          <w:i/>
          <w:iCs/>
          <w:sz w:val="28"/>
          <w:szCs w:val="28"/>
          <w:vertAlign w:val="subscript"/>
        </w:rPr>
        <w:t>5.2</w:t>
      </w:r>
      <w:r>
        <w:rPr>
          <w:rFonts w:ascii="Times New Roman" w:hAnsi="Times New Roman"/>
          <w:i/>
          <w:sz w:val="28"/>
          <w:szCs w:val="28"/>
        </w:rPr>
        <w:t xml:space="preserve"> </w:t>
      </w:r>
      <w:r>
        <w:rPr>
          <w:rFonts w:ascii="Times New Roman" w:hAnsi="Times New Roman"/>
          <w:sz w:val="28"/>
          <w:szCs w:val="28"/>
        </w:rPr>
        <w:t>– показатель сокращения величины разрыва среднего уровня расчетной бюджетной обеспеченности муниципальных районов (муниципальных округов, городских округов);</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U</w:t>
      </w:r>
      <w:r>
        <w:rPr>
          <w:rFonts w:ascii="Times New Roman" w:hAnsi="Times New Roman"/>
          <w:sz w:val="28"/>
          <w:szCs w:val="28"/>
          <w:vertAlign w:val="subscript"/>
        </w:rPr>
        <w:t>bf</w:t>
      </w:r>
      <w:r>
        <w:rPr>
          <w:rFonts w:ascii="Times New Roman" w:hAnsi="Times New Roman"/>
          <w:sz w:val="28"/>
          <w:szCs w:val="28"/>
        </w:rPr>
        <w:t xml:space="preserve"> – средний уровень расчетной бюджетной обеспеченности 5 наиболее обеспеченных муниципальных районов (муниципальных округов, городских округов) после выравнивания бюджетной обеспеченности муниципальных районов (муниципальных округов, городских округов);</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U</w:t>
      </w:r>
      <w:r>
        <w:rPr>
          <w:rFonts w:ascii="Times New Roman" w:hAnsi="Times New Roman"/>
          <w:sz w:val="28"/>
          <w:szCs w:val="28"/>
          <w:vertAlign w:val="subscript"/>
        </w:rPr>
        <w:t>af</w:t>
      </w:r>
      <w:r>
        <w:rPr>
          <w:rFonts w:ascii="Times New Roman" w:hAnsi="Times New Roman"/>
          <w:sz w:val="28"/>
          <w:szCs w:val="28"/>
        </w:rPr>
        <w:t xml:space="preserve"> – средний уровень расчетной бюджетной обеспеченности 5 наименее обеспеченных муниципальных районов (муниципальных округов, городских округов) после выравнивания бюджетной обеспеченности муниципальных районов (муниципальных округов, городских округов).</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Уровень расчетной бюджетной обеспеченности 5 наиболее и наименее обеспеченных муниципальных районов (муниципальных округов, городских округов) после выравнивания бюджетной обеспеченности муниципальных районов (муниципальных округов, городских округов) размещается в составе расчетов распределения дотаций на выравнивание бюджетной обеспеченности муниципальных районов (муниципальных округов, городских округов) на соответствующий финансовый год и на плановый период на официальном сайте Департамента финансов Брянской области (bryanskoblfin.ru).</w:t>
      </w:r>
    </w:p>
    <w:p>
      <w:pPr>
        <w:pStyle w:val="Normal"/>
        <w:widowControl w:val="false"/>
        <w:numPr>
          <w:ilvl w:val="1"/>
          <w:numId w:val="4"/>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Установление органами государственной власти субъектов Российской Федерации единых нормативов отчислений от отдельных неналоговых доходов, поступающих в бюджеты субъектов Российской Федерации, в местные бюджеты.</w:t>
      </w:r>
    </w:p>
    <w:p>
      <w:pPr>
        <w:pStyle w:val="Normal"/>
        <w:widowControl w:val="false"/>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t>Единые нормативы отчислений от отдельных неналоговых доходов, поступающих в областной бюджет, в местные бюджеты, устанавливаются законам Брянской области от 2 ноября 2016 года № 89-З «О межбюджетных отношениях в Брянской области».</w:t>
      </w:r>
    </w:p>
    <w:p>
      <w:pPr>
        <w:pStyle w:val="Normal"/>
        <w:widowControl w:val="false"/>
        <w:suppressAutoHyphens w:val="true"/>
        <w:spacing w:lineRule="auto" w:line="264" w:before="0" w:after="0"/>
        <w:ind w:firstLine="709"/>
        <w:jc w:val="both"/>
        <w:rPr>
          <w:rFonts w:ascii="Times New Roman" w:hAnsi="Times New Roman"/>
          <w:sz w:val="28"/>
          <w:szCs w:val="28"/>
          <w:lang w:eastAsia="en-US"/>
        </w:rPr>
      </w:pPr>
      <w:r>
        <w:rPr>
          <w:rFonts w:ascii="Times New Roman" w:hAnsi="Times New Roman"/>
          <w:sz w:val="28"/>
          <w:szCs w:val="28"/>
          <w:lang w:eastAsia="en-US"/>
        </w:rPr>
      </w:r>
    </w:p>
    <w:p>
      <w:pPr>
        <w:pStyle w:val="Normal"/>
        <w:widowControl w:val="false"/>
        <w:numPr>
          <w:ilvl w:val="0"/>
          <w:numId w:val="4"/>
        </w:numPr>
        <w:suppressAutoHyphens w:val="true"/>
        <w:spacing w:lineRule="auto" w:line="264" w:before="0" w:after="0"/>
        <w:jc w:val="center"/>
        <w:rPr>
          <w:rFonts w:ascii="Times New Roman" w:hAnsi="Times New Roman"/>
          <w:sz w:val="28"/>
          <w:szCs w:val="28"/>
          <w:lang w:eastAsia="en-US"/>
        </w:rPr>
      </w:pPr>
      <w:r>
        <w:rPr>
          <w:rFonts w:ascii="Times New Roman" w:hAnsi="Times New Roman"/>
          <w:sz w:val="28"/>
          <w:szCs w:val="28"/>
          <w:lang w:eastAsia="en-US"/>
        </w:rPr>
        <w:t>Использование мер стимулирующего характера, направленных на повышение качества управления муниципальными финансами</w:t>
      </w:r>
    </w:p>
    <w:p>
      <w:pPr>
        <w:pStyle w:val="Normal"/>
        <w:widowControl w:val="false"/>
        <w:suppressAutoHyphens w:val="true"/>
        <w:spacing w:lineRule="auto" w:line="264" w:before="0" w:after="0"/>
        <w:ind w:left="450" w:hanging="0"/>
        <w:rPr>
          <w:rFonts w:ascii="Times New Roman" w:hAnsi="Times New Roman"/>
          <w:sz w:val="28"/>
          <w:szCs w:val="28"/>
          <w:lang w:eastAsia="en-US"/>
        </w:rPr>
      </w:pPr>
      <w:r>
        <w:rPr>
          <w:rFonts w:ascii="Times New Roman" w:hAnsi="Times New Roman"/>
          <w:sz w:val="28"/>
          <w:szCs w:val="28"/>
          <w:lang w:eastAsia="en-US"/>
        </w:rPr>
      </w:r>
    </w:p>
    <w:p>
      <w:pPr>
        <w:pStyle w:val="Normal"/>
        <w:widowControl w:val="false"/>
        <w:numPr>
          <w:ilvl w:val="1"/>
          <w:numId w:val="4"/>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Предоставление из областного бюджета дотаций бюджетам муниципальных районов (муниципальных округов, городских округов) на поощрение достижения наилучших показателей социально-экономического развития муниципальных районов (муниципальных округов, городских округов) осуществляется в соответствии с нормативным правовым актом Правительства Брянской области. Распределение дотаций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pPr>
        <w:pStyle w:val="Normal"/>
        <w:widowControl w:val="false"/>
        <w:numPr>
          <w:ilvl w:val="1"/>
          <w:numId w:val="4"/>
        </w:numPr>
        <w:suppressAutoHyphens w:val="true"/>
        <w:spacing w:lineRule="auto" w:line="264" w:before="0" w:after="0"/>
        <w:ind w:left="0" w:firstLine="709"/>
        <w:jc w:val="both"/>
        <w:rPr>
          <w:rFonts w:ascii="Times New Roman" w:hAnsi="Times New Roman"/>
          <w:sz w:val="28"/>
          <w:szCs w:val="28"/>
        </w:rPr>
      </w:pPr>
      <w:r>
        <w:rPr>
          <w:rFonts w:ascii="Times New Roman" w:hAnsi="Times New Roman"/>
          <w:sz w:val="28"/>
          <w:szCs w:val="28"/>
        </w:rPr>
        <w:t>Предоставление из областного бюджета дотаций бюджетам муниципальных районов (муниципальных округов, городских округов) в целях поощрения высоких темпов наращивания</w:t>
      </w:r>
      <w:r>
        <w:rPr>
          <w:rFonts w:ascii="Times New Roman" w:hAnsi="Times New Roman"/>
          <w:color w:val="00B050"/>
          <w:sz w:val="28"/>
          <w:szCs w:val="28"/>
        </w:rPr>
        <w:t xml:space="preserve"> </w:t>
      </w:r>
      <w:r>
        <w:rPr>
          <w:rFonts w:ascii="Times New Roman" w:hAnsi="Times New Roman"/>
          <w:sz w:val="28"/>
          <w:szCs w:val="28"/>
        </w:rPr>
        <w:t>налогового (экономического) потенциала территорий осуществляется в соответствии с нормативным правовым актом Правительства Брянской области. Распределение дотаций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pPr>
        <w:pStyle w:val="Normal"/>
        <w:widowControl w:val="false"/>
        <w:numPr>
          <w:ilvl w:val="1"/>
          <w:numId w:val="4"/>
        </w:numPr>
        <w:suppressAutoHyphens w:val="true"/>
        <w:spacing w:lineRule="auto" w:line="264" w:before="0" w:after="0"/>
        <w:ind w:left="0" w:firstLine="698"/>
        <w:jc w:val="both"/>
        <w:rPr>
          <w:rFonts w:ascii="Times New Roman" w:hAnsi="Times New Roman"/>
          <w:sz w:val="28"/>
          <w:szCs w:val="28"/>
        </w:rPr>
      </w:pPr>
      <w:r>
        <w:rPr>
          <w:rFonts w:ascii="Times New Roman" w:hAnsi="Times New Roman"/>
          <w:sz w:val="28"/>
          <w:szCs w:val="28"/>
        </w:rPr>
        <w:t>Предоставление из областного бюджета дотаций бюджетам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 осуществляется в соответствии с нормативным правовым актом Правительства Брянской области. Распределение дотаций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pPr>
        <w:pStyle w:val="Normal"/>
        <w:widowControl w:val="false"/>
        <w:numPr>
          <w:ilvl w:val="1"/>
          <w:numId w:val="4"/>
        </w:numPr>
        <w:suppressAutoHyphens w:val="true"/>
        <w:spacing w:lineRule="auto" w:line="264" w:before="0" w:after="0"/>
        <w:ind w:left="0" w:firstLine="567"/>
        <w:jc w:val="both"/>
        <w:rPr>
          <w:rFonts w:ascii="Times New Roman" w:hAnsi="Times New Roman"/>
          <w:sz w:val="28"/>
          <w:szCs w:val="28"/>
        </w:rPr>
      </w:pPr>
      <w:r>
        <w:rPr>
          <w:rFonts w:ascii="Times New Roman" w:hAnsi="Times New Roman"/>
          <w:sz w:val="28"/>
          <w:szCs w:val="28"/>
        </w:rPr>
        <w:t>Предоставление грантов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осуществляется в соответствии с нормативным правовым актом Правительства Брянской области. Распределение грантов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pPr>
        <w:pStyle w:val="Normal"/>
        <w:widowControl w:val="false"/>
        <w:suppressAutoHyphens w:val="true"/>
        <w:spacing w:lineRule="auto" w:line="264" w:before="0" w:after="0"/>
        <w:ind w:left="567" w:hanging="0"/>
        <w:jc w:val="both"/>
        <w:rPr>
          <w:rFonts w:ascii="Times New Roman" w:hAnsi="Times New Roman"/>
          <w:sz w:val="28"/>
          <w:szCs w:val="28"/>
        </w:rPr>
      </w:pPr>
      <w:r>
        <w:rPr>
          <w:rFonts w:ascii="Times New Roman" w:hAnsi="Times New Roman"/>
          <w:sz w:val="28"/>
          <w:szCs w:val="28"/>
        </w:rPr>
      </w:r>
    </w:p>
    <w:p>
      <w:pPr>
        <w:pStyle w:val="Normal"/>
        <w:keepNext w:val="true"/>
        <w:widowControl w:val="false"/>
        <w:numPr>
          <w:ilvl w:val="0"/>
          <w:numId w:val="4"/>
        </w:numPr>
        <w:suppressAutoHyphens w:val="true"/>
        <w:spacing w:lineRule="auto" w:line="264" w:before="0" w:after="0"/>
        <w:ind w:left="448" w:hanging="448"/>
        <w:jc w:val="center"/>
        <w:rPr>
          <w:rFonts w:ascii="Times New Roman" w:hAnsi="Times New Roman"/>
          <w:sz w:val="28"/>
          <w:szCs w:val="28"/>
        </w:rPr>
      </w:pPr>
      <w:r>
        <w:rPr>
          <w:rFonts w:ascii="Times New Roman" w:hAnsi="Times New Roman"/>
          <w:sz w:val="28"/>
          <w:szCs w:val="28"/>
        </w:rPr>
        <w:t>Повышение эффективности закупок для обеспечения государственных нужд</w:t>
      </w:r>
    </w:p>
    <w:p>
      <w:pPr>
        <w:pStyle w:val="Normal"/>
        <w:widowControl w:val="false"/>
        <w:suppressAutoHyphens w:val="true"/>
        <w:spacing w:lineRule="auto" w:line="264" w:before="0" w:after="0"/>
        <w:ind w:left="450" w:hanging="0"/>
        <w:rPr>
          <w:rFonts w:ascii="Times New Roman" w:hAnsi="Times New Roman"/>
          <w:sz w:val="28"/>
          <w:szCs w:val="28"/>
        </w:rPr>
      </w:pPr>
      <w:r>
        <w:rPr>
          <w:rFonts w:ascii="Times New Roman" w:hAnsi="Times New Roman"/>
          <w:sz w:val="28"/>
          <w:szCs w:val="28"/>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7.1. Доля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 определяется следующим образом:</w:t>
      </w:r>
    </w:p>
    <w:p>
      <w:pPr>
        <w:pStyle w:val="Normal"/>
        <w:widowControl w:val="false"/>
        <w:suppressAutoHyphens w:val="true"/>
        <w:spacing w:lineRule="auto" w:line="264" w:before="0" w:after="0"/>
        <w:ind w:firstLine="709"/>
        <w:contextualSpacing/>
        <w:jc w:val="both"/>
        <w:rPr>
          <w:rFonts w:ascii="Times New Roman" w:hAnsi="Times New Roman"/>
          <w:sz w:val="14"/>
          <w:szCs w:val="14"/>
        </w:rPr>
      </w:pPr>
      <w:r>
        <w:rPr>
          <w:rFonts w:ascii="Times New Roman" w:hAnsi="Times New Roman"/>
          <w:sz w:val="14"/>
          <w:szCs w:val="14"/>
        </w:rPr>
      </w:r>
    </w:p>
    <w:p>
      <w:pPr>
        <w:pStyle w:val="ListParagraph"/>
        <w:widowControl w:val="false"/>
        <w:suppressAutoHyphens w:val="true"/>
        <w:spacing w:lineRule="auto" w:line="264" w:before="0" w:after="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7.1</m:t>
            </m:r>
          </m:sub>
        </m:sSub>
        <m:r>
          <w:rPr>
            <w:rFonts w:ascii="Cambria Math" w:hAnsi="Cambria Math"/>
          </w:rPr>
          <m:t xml:space="preserve">=</m:t>
        </m:r>
        <m:f>
          <m:num>
            <m:r>
              <w:rPr>
                <w:rFonts w:ascii="Cambria Math" w:hAnsi="Cambria Math"/>
              </w:rPr>
              <m:t xml:space="preserve">Zk</m:t>
            </m:r>
          </m:num>
          <m:den>
            <m:r>
              <w:rPr>
                <w:rFonts w:ascii="Cambria Math" w:hAnsi="Cambria Math"/>
              </w:rPr>
              <m:t xml:space="preserve">Zo</m:t>
            </m:r>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firstLine="709"/>
        <w:contextualSpacing/>
        <w:jc w:val="both"/>
        <w:rPr>
          <w:rFonts w:ascii="Times New Roman" w:hAnsi="Times New Roman"/>
          <w:sz w:val="14"/>
          <w:szCs w:val="14"/>
        </w:rPr>
      </w:pPr>
      <w:r>
        <w:rPr>
          <w:rFonts w:ascii="Times New Roman" w:hAnsi="Times New Roman"/>
          <w:sz w:val="14"/>
          <w:szCs w:val="14"/>
        </w:rPr>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iCs/>
          <w:sz w:val="28"/>
          <w:szCs w:val="28"/>
          <w:lang w:val="en-US"/>
        </w:rPr>
        <w:t>P</w:t>
      </w:r>
      <w:r>
        <w:rPr>
          <w:rFonts w:ascii="Times New Roman" w:hAnsi="Times New Roman"/>
          <w:i/>
          <w:iCs/>
          <w:sz w:val="28"/>
          <w:szCs w:val="28"/>
          <w:vertAlign w:val="subscript"/>
        </w:rPr>
        <w:t xml:space="preserve">7.1 </w:t>
      </w:r>
      <w:r>
        <w:rPr>
          <w:rFonts w:ascii="Times New Roman" w:hAnsi="Times New Roman"/>
          <w:sz w:val="28"/>
          <w:szCs w:val="28"/>
        </w:rPr>
        <w:t>- доля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sz w:val="28"/>
          <w:szCs w:val="28"/>
          <w:lang w:val="en-US"/>
        </w:rPr>
        <w:t>Zk</w:t>
      </w:r>
      <w:r>
        <w:rPr>
          <w:rFonts w:ascii="Times New Roman" w:hAnsi="Times New Roman"/>
          <w:i/>
          <w:sz w:val="28"/>
          <w:szCs w:val="28"/>
        </w:rPr>
        <w:t xml:space="preserve"> </w:t>
      </w:r>
      <w:r>
        <w:rPr>
          <w:rFonts w:ascii="Times New Roman" w:hAnsi="Times New Roman"/>
          <w:sz w:val="28"/>
          <w:szCs w:val="28"/>
        </w:rPr>
        <w:t>- количество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sz w:val="28"/>
          <w:szCs w:val="28"/>
          <w:lang w:val="en-US"/>
        </w:rPr>
        <w:t>Z</w:t>
      </w:r>
      <w:r>
        <w:rPr>
          <w:rFonts w:ascii="Times New Roman" w:hAnsi="Times New Roman"/>
          <w:i/>
          <w:sz w:val="28"/>
          <w:szCs w:val="28"/>
        </w:rPr>
        <w:t>о</w:t>
      </w:r>
      <w:r>
        <w:rPr>
          <w:rFonts w:ascii="Times New Roman" w:hAnsi="Times New Roman"/>
          <w:sz w:val="28"/>
          <w:szCs w:val="28"/>
        </w:rPr>
        <w:t xml:space="preserve"> - общее количество государственных заказчиков (исполнительных органов государственной власти, казенных, бюджетных учреждений),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 xml:space="preserve">7.2. Количество проведенных управлением государственных закупок Брянской области обучающих и информационных мероприятий для заказчиков Брянской области по применению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Федерального </w:t>
      </w:r>
      <w:hyperlink r:id="rId3">
        <w:r>
          <w:rPr>
            <w:rFonts w:ascii="Times New Roman" w:hAnsi="Times New Roman"/>
            <w:sz w:val="28"/>
            <w:szCs w:val="28"/>
          </w:rPr>
          <w:t>закона</w:t>
        </w:r>
      </w:hyperlink>
      <w:r>
        <w:rPr>
          <w:rFonts w:ascii="Times New Roman" w:hAnsi="Times New Roman"/>
          <w:sz w:val="28"/>
          <w:szCs w:val="28"/>
        </w:rPr>
        <w:t xml:space="preserve"> от 18 июля 2011 года № 223-ФЗ «О закупках товаров, работ, услуг отдельными видами юридических лиц» определяется следующим образом:</w:t>
      </w:r>
    </w:p>
    <w:p>
      <w:pPr>
        <w:pStyle w:val="ListParagraph"/>
        <w:widowControl w:val="false"/>
        <w:suppressAutoHyphens w:val="true"/>
        <w:spacing w:lineRule="auto" w:line="264" w:before="120" w:after="12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7.2</m:t>
            </m:r>
          </m:sub>
        </m:sSub>
        <m:r>
          <w:rPr>
            <w:rFonts w:ascii="Cambria Math" w:hAnsi="Cambria Math"/>
          </w:rPr>
          <m:t xml:space="preserve">=</m:t>
        </m:r>
        <m:nary>
          <m:naryPr>
            <m:chr m:val="∑"/>
          </m:naryPr>
          <m:sub>
            <m:r>
              <w:rPr>
                <w:rFonts w:ascii="Cambria Math" w:hAnsi="Cambria Math"/>
              </w:rPr>
              <m:t xml:space="preserve">i</m:t>
            </m:r>
            <m:r>
              <w:rPr>
                <w:rFonts w:ascii="Cambria Math" w:hAnsi="Cambria Math"/>
              </w:rPr>
              <m:t xml:space="preserve">=</m:t>
            </m:r>
            <m:r>
              <w:rPr>
                <w:rFonts w:ascii="Cambria Math" w:hAnsi="Cambria Math"/>
              </w:rPr>
              <m:t xml:space="preserve">1</m:t>
            </m:r>
          </m:sub>
          <m:sup>
            <m:r>
              <w:rPr>
                <w:rFonts w:ascii="Cambria Math" w:hAnsi="Cambria Math"/>
              </w:rPr>
              <m:t xml:space="preserve">n</m:t>
            </m:r>
          </m:sup>
          <m:e>
            <m:sSub>
              <m:e>
                <m:r>
                  <w:rPr>
                    <w:rFonts w:ascii="Cambria Math" w:hAnsi="Cambria Math"/>
                  </w:rPr>
                  <m:t xml:space="preserve">K</m:t>
                </m:r>
              </m:e>
              <m:sub>
                <m:r>
                  <w:rPr>
                    <w:rFonts w:ascii="Cambria Math" w:hAnsi="Cambria Math"/>
                  </w:rPr>
                  <m:t xml:space="preserve">i</m:t>
                </m:r>
              </m:sub>
            </m:sSub>
          </m:e>
        </m:nary>
      </m:oMath>
      <w:r>
        <w:rPr>
          <w:rFonts w:ascii="Times New Roman" w:hAnsi="Times New Roman"/>
          <w:sz w:val="28"/>
          <w:szCs w:val="28"/>
        </w:rPr>
        <w:t>, где:</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iCs/>
          <w:sz w:val="28"/>
          <w:szCs w:val="28"/>
          <w:lang w:val="en-US"/>
        </w:rPr>
        <w:t>P</w:t>
      </w:r>
      <w:r>
        <w:rPr>
          <w:rFonts w:ascii="Times New Roman" w:hAnsi="Times New Roman"/>
          <w:i/>
          <w:iCs/>
          <w:sz w:val="28"/>
          <w:szCs w:val="28"/>
          <w:vertAlign w:val="subscript"/>
        </w:rPr>
        <w:t>7.2</w:t>
      </w:r>
      <w:r>
        <w:rPr>
          <w:rFonts w:ascii="Times New Roman" w:hAnsi="Times New Roman"/>
          <w:i/>
          <w:sz w:val="28"/>
          <w:szCs w:val="28"/>
        </w:rPr>
        <w:t xml:space="preserve"> </w:t>
      </w:r>
      <w:r>
        <w:rPr>
          <w:rFonts w:ascii="Times New Roman" w:hAnsi="Times New Roman"/>
          <w:sz w:val="28"/>
          <w:szCs w:val="28"/>
        </w:rPr>
        <w:t xml:space="preserve">- количество проведенных управлением государственных закупок Брянской области обучающих и информационных мероприятий для заказчиков Брянской области по применению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Федерального </w:t>
      </w:r>
      <w:hyperlink r:id="rId4">
        <w:r>
          <w:rPr>
            <w:rFonts w:ascii="Times New Roman" w:hAnsi="Times New Roman"/>
            <w:sz w:val="28"/>
            <w:szCs w:val="28"/>
          </w:rPr>
          <w:t>закона</w:t>
        </w:r>
      </w:hyperlink>
      <w:r>
        <w:rPr>
          <w:rFonts w:ascii="Times New Roman" w:hAnsi="Times New Roman"/>
          <w:sz w:val="28"/>
          <w:szCs w:val="28"/>
        </w:rPr>
        <w:t xml:space="preserve"> от 18 июля 2011 года № 223-ФЗ «О закупках товаров, работ, услуг отдельными видами юридических лиц»,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sz w:val="28"/>
          <w:szCs w:val="28"/>
          <w:lang w:val="en-US"/>
        </w:rPr>
        <w:t>K</w:t>
      </w:r>
      <w:r>
        <w:rPr>
          <w:rFonts w:ascii="Times New Roman" w:hAnsi="Times New Roman"/>
          <w:i/>
          <w:sz w:val="28"/>
          <w:szCs w:val="28"/>
          <w:vertAlign w:val="subscript"/>
          <w:lang w:val="en-US"/>
        </w:rPr>
        <w:t>i</w:t>
      </w:r>
      <w:r>
        <w:rPr>
          <w:rFonts w:ascii="Times New Roman" w:hAnsi="Times New Roman"/>
          <w:i/>
          <w:sz w:val="28"/>
          <w:szCs w:val="28"/>
        </w:rPr>
        <w:t xml:space="preserve"> - </w:t>
      </w:r>
      <w:r>
        <w:rPr>
          <w:rFonts w:ascii="Times New Roman" w:hAnsi="Times New Roman"/>
          <w:sz w:val="28"/>
          <w:szCs w:val="28"/>
        </w:rPr>
        <w:t xml:space="preserve">количество проведенных управлением государственных закупок Брянской области обучающих и информационных мероприятий в месяц для заказчиков Брянской области по применению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Федерального </w:t>
      </w:r>
      <w:hyperlink r:id="rId5">
        <w:r>
          <w:rPr>
            <w:rFonts w:ascii="Times New Roman" w:hAnsi="Times New Roman"/>
            <w:sz w:val="28"/>
            <w:szCs w:val="28"/>
          </w:rPr>
          <w:t>закона</w:t>
        </w:r>
      </w:hyperlink>
      <w:r>
        <w:rPr>
          <w:rFonts w:ascii="Times New Roman" w:hAnsi="Times New Roman"/>
          <w:sz w:val="28"/>
          <w:szCs w:val="28"/>
        </w:rPr>
        <w:t xml:space="preserve"> от 18 июля 2011 года №</w:t>
      </w:r>
      <w:r>
        <w:rPr>
          <w:rFonts w:ascii="Times New Roman" w:hAnsi="Times New Roman"/>
          <w:sz w:val="28"/>
          <w:szCs w:val="28"/>
          <w:lang w:val="en-US"/>
        </w:rPr>
        <w:t> </w:t>
      </w:r>
      <w:r>
        <w:rPr>
          <w:rFonts w:ascii="Times New Roman" w:hAnsi="Times New Roman"/>
          <w:sz w:val="28"/>
          <w:szCs w:val="28"/>
        </w:rPr>
        <w:t>223-ФЗ «О закупках товаров, работ, услуг отдельными видами юридических лиц»,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sz w:val="28"/>
          <w:szCs w:val="28"/>
          <w:lang w:val="en-US"/>
        </w:rPr>
        <w:t>n</w:t>
      </w:r>
      <w:r>
        <w:rPr>
          <w:rFonts w:ascii="Times New Roman" w:hAnsi="Times New Roman"/>
          <w:i/>
          <w:sz w:val="28"/>
          <w:szCs w:val="28"/>
        </w:rPr>
        <w:t xml:space="preserve"> – </w:t>
      </w:r>
      <w:r>
        <w:rPr>
          <w:rFonts w:ascii="Times New Roman" w:hAnsi="Times New Roman"/>
          <w:sz w:val="28"/>
          <w:szCs w:val="28"/>
        </w:rPr>
        <w:t>количество месяцев.</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p>
    <w:p>
      <w:pPr>
        <w:pStyle w:val="Normal"/>
        <w:widowControl w:val="false"/>
        <w:suppressAutoHyphens w:val="true"/>
        <w:spacing w:lineRule="auto" w:line="264" w:before="0" w:after="0"/>
        <w:ind w:firstLine="709"/>
        <w:jc w:val="both"/>
        <w:rPr>
          <w:rFonts w:ascii="Times New Roman" w:hAnsi="Times New Roman"/>
          <w:sz w:val="28"/>
          <w:szCs w:val="28"/>
        </w:rPr>
      </w:pPr>
      <w:r>
        <w:rPr>
          <w:rFonts w:ascii="Times New Roman" w:hAnsi="Times New Roman"/>
          <w:sz w:val="28"/>
          <w:szCs w:val="28"/>
        </w:rPr>
        <w:t>7.3. Доля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в общем количестве таких заказчиков, определяется следующим образом:</w:t>
      </w:r>
    </w:p>
    <w:p>
      <w:pPr>
        <w:pStyle w:val="ListParagraph"/>
        <w:widowControl w:val="false"/>
        <w:suppressAutoHyphens w:val="true"/>
        <w:spacing w:lineRule="auto" w:line="264" w:before="240" w:after="24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7.3</m:t>
            </m:r>
          </m:sub>
        </m:sSub>
        <m:r>
          <w:rPr>
            <w:rFonts w:ascii="Cambria Math" w:hAnsi="Cambria Math"/>
          </w:rPr>
          <m:t xml:space="preserve">=</m:t>
        </m:r>
        <m:f>
          <m:num>
            <m:r>
              <w:rPr>
                <w:rFonts w:ascii="Cambria Math" w:hAnsi="Cambria Math"/>
              </w:rPr>
              <m:t xml:space="preserve">Zw</m:t>
            </m:r>
          </m:num>
          <m:den>
            <m:r>
              <w:rPr>
                <w:rFonts w:ascii="Cambria Math" w:hAnsi="Cambria Math"/>
              </w:rPr>
              <m:t xml:space="preserve">Oz</m:t>
            </m:r>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lang w:val="en-US"/>
        </w:rPr>
        <w:t>P</w:t>
      </w:r>
      <w:r>
        <w:rPr>
          <w:rFonts w:ascii="Times New Roman" w:hAnsi="Times New Roman"/>
          <w:sz w:val="28"/>
          <w:szCs w:val="28"/>
          <w:vertAlign w:val="subscript"/>
        </w:rPr>
        <w:t>7.3</w:t>
      </w:r>
      <w:r>
        <w:rPr>
          <w:rFonts w:ascii="Times New Roman" w:hAnsi="Times New Roman"/>
          <w:sz w:val="28"/>
          <w:szCs w:val="28"/>
        </w:rPr>
        <w:t xml:space="preserve"> – доля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в общем количестве таких заказчиков,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Zw – количество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Oz – количество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p>
    <w:p>
      <w:pPr>
        <w:pStyle w:val="Normal"/>
        <w:widowControl w:val="false"/>
        <w:numPr>
          <w:ilvl w:val="1"/>
          <w:numId w:val="5"/>
        </w:numPr>
        <w:suppressAutoHyphens w:val="true"/>
        <w:spacing w:lineRule="auto" w:line="264" w:before="0" w:after="0"/>
        <w:ind w:left="0" w:firstLine="709"/>
        <w:contextualSpacing/>
        <w:jc w:val="both"/>
        <w:rPr>
          <w:rFonts w:ascii="Times New Roman" w:hAnsi="Times New Roman"/>
          <w:sz w:val="28"/>
          <w:szCs w:val="28"/>
        </w:rPr>
      </w:pPr>
      <w:r>
        <w:rPr>
          <w:rFonts w:ascii="Times New Roman" w:hAnsi="Times New Roman"/>
          <w:sz w:val="28"/>
          <w:szCs w:val="28"/>
        </w:rPr>
        <w:t>Доля признанных обоснованными жалоб на действие (бездействие) комиссии по осуществлению закупок управления государственных закупок Брянской области в общем количестве поступивших жалоб на закупки, осуществленные управлением государственных закупок Брянской области конкурентными способами определяется следующим образом:</w:t>
      </w:r>
    </w:p>
    <w:p>
      <w:pPr>
        <w:pStyle w:val="ListParagraph"/>
        <w:widowControl w:val="false"/>
        <w:suppressAutoHyphens w:val="true"/>
        <w:spacing w:lineRule="auto" w:line="264" w:before="240" w:after="240"/>
        <w:ind w:left="450" w:hanging="0"/>
        <w:contextualSpacing/>
        <w:jc w:val="center"/>
        <w:rPr>
          <w:rFonts w:ascii="Times New Roman" w:hAnsi="Times New Roman"/>
          <w:sz w:val="28"/>
          <w:szCs w:val="28"/>
        </w:rPr>
      </w:pPr>
      <w:r>
        <w:rPr/>
      </w:r>
      <m:oMath xmlns:m="http://schemas.openxmlformats.org/officeDocument/2006/math">
        <m:sSub>
          <m:e>
            <m:r>
              <w:rPr>
                <w:rFonts w:ascii="Cambria Math" w:hAnsi="Cambria Math"/>
              </w:rPr>
              <m:t xml:space="preserve">P</m:t>
            </m:r>
          </m:e>
          <m:sub>
            <m:r>
              <w:rPr>
                <w:rFonts w:ascii="Cambria Math" w:hAnsi="Cambria Math"/>
              </w:rPr>
              <m:t xml:space="preserve">7.4</m:t>
            </m:r>
          </m:sub>
        </m:sSub>
        <m:r>
          <w:rPr>
            <w:rFonts w:ascii="Cambria Math" w:hAnsi="Cambria Math"/>
          </w:rPr>
          <m:t xml:space="preserve">=</m:t>
        </m:r>
        <m:f>
          <m:num>
            <m:r>
              <w:rPr>
                <w:rFonts w:ascii="Cambria Math" w:hAnsi="Cambria Math"/>
              </w:rPr>
              <m:t xml:space="preserve">Vo</m:t>
            </m:r>
          </m:num>
          <m:den>
            <m:r>
              <w:rPr>
                <w:rFonts w:ascii="Cambria Math" w:hAnsi="Cambria Math"/>
              </w:rPr>
              <m:t xml:space="preserve">Vp</m:t>
            </m:r>
          </m:den>
        </m:f>
        <m:r>
          <w:rPr>
            <w:rFonts w:ascii="Cambria Math" w:hAnsi="Cambria Math"/>
          </w:rPr>
          <m:t xml:space="preserve">×</m:t>
        </m:r>
        <m:r>
          <w:rPr>
            <w:rFonts w:ascii="Cambria Math" w:hAnsi="Cambria Math"/>
          </w:rPr>
          <m:t xml:space="preserve">100</m:t>
        </m:r>
      </m:oMath>
      <w:r>
        <w:rPr>
          <w:rFonts w:ascii="Times New Roman" w:hAnsi="Times New Roman"/>
          <w:sz w:val="28"/>
          <w:szCs w:val="28"/>
        </w:rPr>
        <w:t>, где:</w:t>
      </w:r>
    </w:p>
    <w:p>
      <w:pPr>
        <w:pStyle w:val="Normal"/>
        <w:widowControl w:val="false"/>
        <w:suppressAutoHyphens w:val="true"/>
        <w:spacing w:lineRule="auto" w:line="264" w:before="0" w:after="0"/>
        <w:ind w:left="1353" w:hanging="0"/>
        <w:contextualSpacing/>
        <w:jc w:val="both"/>
        <w:rPr>
          <w:rFonts w:ascii="Times New Roman" w:hAnsi="Times New Roman"/>
          <w:sz w:val="28"/>
          <w:szCs w:val="28"/>
        </w:rPr>
      </w:pPr>
      <w:r>
        <w:rPr>
          <w:rFonts w:ascii="Times New Roman" w:hAnsi="Times New Roman"/>
          <w:sz w:val="28"/>
          <w:szCs w:val="28"/>
        </w:rPr>
      </w:r>
    </w:p>
    <w:p>
      <w:pPr>
        <w:pStyle w:val="Normal"/>
        <w:widowControl w:val="false"/>
        <w:suppressAutoHyphens w:val="true"/>
        <w:spacing w:lineRule="auto" w:line="264" w:before="0" w:after="0"/>
        <w:ind w:firstLine="709"/>
        <w:contextualSpacing/>
        <w:jc w:val="both"/>
        <w:rPr>
          <w:rFonts w:ascii="Times New Roman" w:hAnsi="Times New Roman"/>
          <w:i/>
          <w:i/>
          <w:sz w:val="28"/>
          <w:szCs w:val="28"/>
        </w:rPr>
      </w:pPr>
      <w:r>
        <w:rPr>
          <w:rFonts w:ascii="Times New Roman" w:hAnsi="Times New Roman"/>
          <w:i/>
          <w:iCs/>
          <w:sz w:val="28"/>
          <w:szCs w:val="28"/>
          <w:lang w:val="en-US"/>
        </w:rPr>
        <w:t>P</w:t>
      </w:r>
      <w:r>
        <w:rPr>
          <w:rFonts w:ascii="Times New Roman" w:hAnsi="Times New Roman"/>
          <w:i/>
          <w:iCs/>
          <w:sz w:val="28"/>
          <w:szCs w:val="28"/>
          <w:vertAlign w:val="subscript"/>
        </w:rPr>
        <w:t xml:space="preserve">7.4 </w:t>
      </w:r>
      <w:r>
        <w:rPr>
          <w:rFonts w:ascii="Times New Roman" w:hAnsi="Times New Roman"/>
          <w:sz w:val="28"/>
          <w:szCs w:val="28"/>
        </w:rPr>
        <w:t>- доля признанных обоснованными жалоб на действие (бездействие) комиссии по осуществлению закупок управления государственных закупок Брянской области в общем количестве поступивших жалоб на закупки, осуществленные управлением государственных закупок Брянской области конкурентными способами, %;</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sz w:val="28"/>
          <w:szCs w:val="28"/>
          <w:lang w:val="en-US"/>
        </w:rPr>
        <w:t>V</w:t>
      </w:r>
      <w:r>
        <w:rPr>
          <w:rFonts w:ascii="Times New Roman" w:hAnsi="Times New Roman"/>
          <w:i/>
          <w:sz w:val="28"/>
          <w:szCs w:val="28"/>
        </w:rPr>
        <w:t>o</w:t>
      </w:r>
      <w:r>
        <w:rPr>
          <w:rFonts w:ascii="Times New Roman" w:hAnsi="Times New Roman"/>
          <w:sz w:val="28"/>
          <w:szCs w:val="28"/>
        </w:rPr>
        <w:t xml:space="preserve"> -</w:t>
      </w:r>
      <w:r>
        <w:rPr>
          <w:rFonts w:eastAsia="Times New Roman" w:cs="Calibri"/>
          <w:szCs w:val="20"/>
        </w:rPr>
        <w:t xml:space="preserve"> </w:t>
      </w:r>
      <w:r>
        <w:rPr>
          <w:rFonts w:ascii="Times New Roman" w:hAnsi="Times New Roman"/>
          <w:sz w:val="28"/>
          <w:szCs w:val="28"/>
        </w:rPr>
        <w:t>количество признанных обоснованными жалоб на действие (бездействие) комиссии по осуществлению закупок управления государственных закупок Брянской области,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i/>
          <w:sz w:val="28"/>
          <w:szCs w:val="28"/>
        </w:rPr>
        <w:t>Vp</w:t>
      </w:r>
      <w:r>
        <w:rPr>
          <w:rFonts w:ascii="Times New Roman" w:hAnsi="Times New Roman"/>
          <w:sz w:val="28"/>
          <w:szCs w:val="28"/>
        </w:rPr>
        <w:t xml:space="preserve"> - общее количество поступивших жалоб на закупки, осуществленные управлением государственных закупок Брянской области, единиц.</w:t>
      </w:r>
    </w:p>
    <w:p>
      <w:pPr>
        <w:pStyle w:val="Normal"/>
        <w:widowControl w:val="false"/>
        <w:suppressAutoHyphens w:val="true"/>
        <w:spacing w:lineRule="auto" w:line="264" w:before="0" w:after="0"/>
        <w:ind w:firstLine="709"/>
        <w:contextualSpacing/>
        <w:jc w:val="both"/>
        <w:rPr>
          <w:rFonts w:ascii="Times New Roman" w:hAnsi="Times New Roman"/>
          <w:sz w:val="28"/>
          <w:szCs w:val="28"/>
        </w:rPr>
      </w:pPr>
      <w:r>
        <w:rPr>
          <w:rFonts w:ascii="Times New Roman" w:hAnsi="Times New Roman"/>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p>
    <w:sectPr>
      <w:type w:val="nextPage"/>
      <w:pgSz w:w="11950" w:h="16901"/>
      <w:pgMar w:left="1701" w:right="850" w:header="0" w:top="1134" w:footer="0" w:bottom="1134"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Arial">
    <w:charset w:val="cc"/>
    <w:family w:val="roman"/>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353" w:hanging="360"/>
      </w:pPr>
      <w:rPr>
        <w:b w:val="false"/>
        <w:rFonts w:cs="Times New Roman"/>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2">
    <w:lvl w:ilvl="0">
      <w:start w:val="1"/>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1571" w:hanging="720"/>
      </w:pPr>
      <w:rPr>
        <w:b w:val="false"/>
        <w:rFonts w:cs="Times New Roman"/>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3207" w:hanging="108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985" w:hanging="1440"/>
      </w:pPr>
      <w:rPr>
        <w:rFonts w:cs="Times New Roman"/>
      </w:rPr>
    </w:lvl>
    <w:lvl w:ilvl="6">
      <w:start w:val="1"/>
      <w:numFmt w:val="decimal"/>
      <w:lvlText w:val="%1.%2.%3.%4.%5.%6.%7."/>
      <w:lvlJc w:val="left"/>
      <w:pPr>
        <w:tabs>
          <w:tab w:val="num" w:pos="0"/>
        </w:tabs>
        <w:ind w:left="6054" w:hanging="1800"/>
      </w:pPr>
      <w:rPr>
        <w:rFonts w:cs="Times New Roman"/>
      </w:rPr>
    </w:lvl>
    <w:lvl w:ilvl="7">
      <w:start w:val="1"/>
      <w:numFmt w:val="decimal"/>
      <w:lvlText w:val="%1.%2.%3.%4.%5.%6.%7.%8."/>
      <w:lvlJc w:val="left"/>
      <w:pPr>
        <w:tabs>
          <w:tab w:val="num" w:pos="0"/>
        </w:tabs>
        <w:ind w:left="6763" w:hanging="1800"/>
      </w:pPr>
      <w:rPr>
        <w:rFonts w:cs="Times New Roman"/>
      </w:rPr>
    </w:lvl>
    <w:lvl w:ilvl="8">
      <w:start w:val="1"/>
      <w:numFmt w:val="decimal"/>
      <w:lvlText w:val="%1.%2.%3.%4.%5.%6.%7.%8.%9."/>
      <w:lvlJc w:val="left"/>
      <w:pPr>
        <w:tabs>
          <w:tab w:val="num" w:pos="0"/>
        </w:tabs>
        <w:ind w:left="7832" w:hanging="2160"/>
      </w:pPr>
      <w:rPr>
        <w:rFonts w:cs="Times New Roman"/>
      </w:rPr>
    </w:lvl>
  </w:abstractNum>
  <w:abstractNum w:abstractNumId="3">
    <w:lvl w:ilvl="0">
      <w:start w:val="2"/>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1855" w:hanging="720"/>
      </w:pPr>
      <w:rPr>
        <w:b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4">
    <w:lvl w:ilvl="0">
      <w:start w:val="4"/>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5">
    <w:lvl w:ilvl="0">
      <w:start w:val="7"/>
      <w:numFmt w:val="decimal"/>
      <w:lvlText w:val="%1."/>
      <w:lvlJc w:val="left"/>
      <w:pPr>
        <w:tabs>
          <w:tab w:val="num" w:pos="0"/>
        </w:tabs>
        <w:ind w:left="450" w:hanging="450"/>
      </w:pPr>
      <w:rPr>
        <w:rFonts w:cs="Times New Roman"/>
      </w:rPr>
    </w:lvl>
    <w:lvl w:ilvl="1">
      <w:start w:val="4"/>
      <w:numFmt w:val="decimal"/>
      <w:lvlText w:val="%1.%2."/>
      <w:lvlJc w:val="left"/>
      <w:pPr>
        <w:tabs>
          <w:tab w:val="num" w:pos="0"/>
        </w:tabs>
        <w:ind w:left="1170" w:hanging="720"/>
      </w:pPr>
      <w:rPr>
        <w:rFonts w:cs="Times New Roman"/>
      </w:rPr>
    </w:lvl>
    <w:lvl w:ilvl="2">
      <w:start w:val="1"/>
      <w:numFmt w:val="decimal"/>
      <w:lvlText w:val="%1.%2.%3."/>
      <w:lvlJc w:val="left"/>
      <w:pPr>
        <w:tabs>
          <w:tab w:val="num" w:pos="0"/>
        </w:tabs>
        <w:ind w:left="1620" w:hanging="720"/>
      </w:pPr>
      <w:rPr>
        <w:rFonts w:cs="Times New Roman"/>
      </w:rPr>
    </w:lvl>
    <w:lvl w:ilvl="3">
      <w:start w:val="1"/>
      <w:numFmt w:val="decimal"/>
      <w:lvlText w:val="%1.%2.%3.%4."/>
      <w:lvlJc w:val="left"/>
      <w:pPr>
        <w:tabs>
          <w:tab w:val="num" w:pos="0"/>
        </w:tabs>
        <w:ind w:left="2430" w:hanging="1080"/>
      </w:pPr>
      <w:rPr>
        <w:rFonts w:cs="Times New Roman"/>
      </w:rPr>
    </w:lvl>
    <w:lvl w:ilvl="4">
      <w:start w:val="1"/>
      <w:numFmt w:val="decimal"/>
      <w:lvlText w:val="%1.%2.%3.%4.%5."/>
      <w:lvlJc w:val="left"/>
      <w:pPr>
        <w:tabs>
          <w:tab w:val="num" w:pos="0"/>
        </w:tabs>
        <w:ind w:left="2880" w:hanging="1080"/>
      </w:pPr>
      <w:rPr>
        <w:rFonts w:cs="Times New Roman"/>
      </w:rPr>
    </w:lvl>
    <w:lvl w:ilvl="5">
      <w:start w:val="1"/>
      <w:numFmt w:val="decimal"/>
      <w:lvlText w:val="%1.%2.%3.%4.%5.%6."/>
      <w:lvlJc w:val="left"/>
      <w:pPr>
        <w:tabs>
          <w:tab w:val="num" w:pos="0"/>
        </w:tabs>
        <w:ind w:left="3690" w:hanging="1440"/>
      </w:pPr>
      <w:rPr>
        <w:rFonts w:cs="Times New Roman"/>
      </w:rPr>
    </w:lvl>
    <w:lvl w:ilvl="6">
      <w:start w:val="1"/>
      <w:numFmt w:val="decimal"/>
      <w:lvlText w:val="%1.%2.%3.%4.%5.%6.%7."/>
      <w:lvlJc w:val="left"/>
      <w:pPr>
        <w:tabs>
          <w:tab w:val="num" w:pos="0"/>
        </w:tabs>
        <w:ind w:left="4500" w:hanging="1800"/>
      </w:pPr>
      <w:rPr>
        <w:rFonts w:cs="Times New Roman"/>
      </w:rPr>
    </w:lvl>
    <w:lvl w:ilvl="7">
      <w:start w:val="1"/>
      <w:numFmt w:val="decimal"/>
      <w:lvlText w:val="%1.%2.%3.%4.%5.%6.%7.%8."/>
      <w:lvlJc w:val="left"/>
      <w:pPr>
        <w:tabs>
          <w:tab w:val="num" w:pos="0"/>
        </w:tabs>
        <w:ind w:left="4950" w:hanging="1800"/>
      </w:pPr>
      <w:rPr>
        <w:rFonts w:cs="Times New Roman"/>
      </w:rPr>
    </w:lvl>
    <w:lvl w:ilvl="8">
      <w:start w:val="1"/>
      <w:numFmt w:val="decimal"/>
      <w:lvlText w:val="%1.%2.%3.%4.%5.%6.%7.%8.%9."/>
      <w:lvlJc w:val="left"/>
      <w:pPr>
        <w:tabs>
          <w:tab w:val="num" w:pos="0"/>
        </w:tabs>
        <w:ind w:left="5760" w:hanging="2160"/>
      </w:pPr>
      <w:rPr>
        <w:rFonts w:cs="Times New Roman"/>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val="fullPage" w:percent="60"/>
  <w:embedSystemFonts/>
  <w:defaultTabStop w:val="720"/>
  <w:autoHyphenation w:val="true"/>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Times New Roman" w:asciiTheme="minorHAnsi" w:eastAsiaTheme="minorEastAsia"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 w:cs="Times New Roman" w:asciiTheme="minorHAns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uiPriority w:val="99"/>
    <w:semiHidden/>
    <w:qFormat/>
    <w:rsid w:val="00f960a9"/>
    <w:rPr>
      <w:color w:val="808080"/>
    </w:rPr>
  </w:style>
  <w:style w:type="character" w:styleId="Style14" w:customStyle="1">
    <w:name w:val="Текст выноски Знак"/>
    <w:basedOn w:val="DefaultParagraphFont"/>
    <w:link w:val="a3"/>
    <w:uiPriority w:val="99"/>
    <w:semiHidden/>
    <w:qFormat/>
    <w:locked/>
    <w:rsid w:val="003a2a6d"/>
    <w:rPr>
      <w:rFonts w:ascii="Tahoma" w:hAnsi="Tahoma" w:cs="Tahoma"/>
      <w:sz w:val="16"/>
      <w:szCs w:val="16"/>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BalloonText">
    <w:name w:val="Balloon Text"/>
    <w:basedOn w:val="Normal"/>
    <w:link w:val="a4"/>
    <w:uiPriority w:val="99"/>
    <w:semiHidden/>
    <w:unhideWhenUsed/>
    <w:qFormat/>
    <w:rsid w:val="003a2a6d"/>
    <w:pPr>
      <w:spacing w:lineRule="auto" w:line="240" w:before="0" w:after="0"/>
    </w:pPr>
    <w:rPr>
      <w:rFonts w:ascii="Tahoma" w:hAnsi="Tahoma" w:cs="Tahoma"/>
      <w:sz w:val="16"/>
      <w:szCs w:val="16"/>
    </w:rPr>
  </w:style>
  <w:style w:type="paragraph" w:styleId="ListParagraph">
    <w:name w:val="List Paragraph"/>
    <w:basedOn w:val="Normal"/>
    <w:uiPriority w:val="34"/>
    <w:qFormat/>
    <w:rsid w:val="00f960a9"/>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br.ru/" TargetMode="External"/><Relationship Id="rId3" Type="http://schemas.openxmlformats.org/officeDocument/2006/relationships/hyperlink" Target="consultantplus://offline/ref=BD4BA2AE9ADB74C1286BF5CEF95705398827C3664114C44E1B10C3488EzFp9K" TargetMode="External"/><Relationship Id="rId4" Type="http://schemas.openxmlformats.org/officeDocument/2006/relationships/hyperlink" Target="consultantplus://offline/ref=BD4BA2AE9ADB74C1286BF5CEF95705398827C3664114C44E1B10C3488EzFp9K" TargetMode="External"/><Relationship Id="rId5" Type="http://schemas.openxmlformats.org/officeDocument/2006/relationships/hyperlink" Target="consultantplus://offline/ref=BD4BA2AE9ADB74C1286BF5CEF95705398827C3664114C44E1B10C3488EzFp9K"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Application>LibreOffice/7.0.1.2$Windows_X86_64 LibreOffice_project/7cbcfc562f6eb6708b5ff7d7397325de9e764452</Application>
  <Pages>19</Pages>
  <Words>4839</Words>
  <Characters>33317</Characters>
  <CharactersWithSpaces>37424</CharactersWithSpaces>
  <Paragraphs>805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2022-10-20T05:45:00Z</dcterms:created>
  <dc:creator/>
  <dc:description/>
  <dc:language>ru-RU</dc:language>
  <cp:lastModifiedBy>Палкина О.С.</cp:lastModifiedBy>
  <cp:lastPrinted>2022-10-20T05:39:00Z</cp:lastPrinted>
  <dcterms:modified xsi:type="dcterms:W3CDTF">2022-10-20T13:45:00Z</dcterms:modified>
  <cp:revision>9</cp:revision>
  <dc:subject>РЎРѕР·РґР°РЅ: s_makarov 08.08.2019 17:44:19; РР·РјРµРЅРµРЅ: s_makarov 19.10.2021 17:42:01</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